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spacing w:line="360" w:lineRule="auto"/>
        <w:contextualSpacing w:val="0"/>
        <w:rPr>
          <w:rFonts w:ascii="Oswald" w:cs="Oswald" w:eastAsia="Oswald" w:hAnsi="Oswald"/>
          <w:color w:val="37df98"/>
          <w:sz w:val="48"/>
          <w:szCs w:val="48"/>
        </w:rPr>
      </w:pPr>
      <w:r w:rsidDel="00000000" w:rsidR="00000000" w:rsidRPr="00000000">
        <w:rPr>
          <w:rFonts w:ascii="Oswald" w:cs="Oswald" w:eastAsia="Oswald" w:hAnsi="Oswald"/>
          <w:color w:val="37df98"/>
          <w:sz w:val="48"/>
          <w:szCs w:val="48"/>
          <w:rtl w:val="0"/>
        </w:rPr>
        <w:t xml:space="preserve">CONVERSIÓN DE FECHAS</w:t>
      </w:r>
    </w:p>
    <w:p w:rsidR="00000000" w:rsidDel="00000000" w:rsidP="00000000" w:rsidRDefault="00000000" w:rsidRPr="00000000" w14:paraId="00000001">
      <w:pPr>
        <w:spacing w:line="360" w:lineRule="auto"/>
        <w:contextualSpacing w:val="0"/>
        <w:rPr>
          <w:color w:val="666666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666666"/>
          <w:sz w:val="24"/>
          <w:szCs w:val="24"/>
          <w:rtl w:val="0"/>
        </w:rPr>
        <w:t xml:space="preserve">Taller GBIF.ES: Publicación de datos de biodiversidad en GBIF y en revistas científicas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-962024</wp:posOffset>
            </wp:positionH>
            <wp:positionV relativeFrom="paragraph">
              <wp:posOffset>647700</wp:posOffset>
            </wp:positionV>
            <wp:extent cx="7661855" cy="2995613"/>
            <wp:effectExtent b="0" l="0" r="0" t="0"/>
            <wp:wrapSquare wrapText="bothSides" distB="114300" distT="114300" distL="114300" distR="114300"/>
            <wp:docPr id="4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61855" cy="29956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line="360" w:lineRule="auto"/>
        <w:ind w:left="-1440" w:firstLine="0"/>
        <w:contextualSpacing w:val="0"/>
        <w:rPr>
          <w:rFonts w:ascii="Oswald" w:cs="Oswald" w:eastAsia="Oswald" w:hAnsi="Oswald"/>
          <w:color w:val="666666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1"/>
        <w:keepNext w:val="0"/>
        <w:keepLines w:val="0"/>
        <w:spacing w:after="0" w:before="100" w:line="360" w:lineRule="auto"/>
        <w:contextualSpacing w:val="0"/>
        <w:rPr>
          <w:rFonts w:ascii="Oswald" w:cs="Oswald" w:eastAsia="Oswald" w:hAnsi="Oswald"/>
          <w:color w:val="1d86c8"/>
          <w:sz w:val="48"/>
          <w:szCs w:val="48"/>
        </w:rPr>
      </w:pPr>
      <w:bookmarkStart w:colFirst="0" w:colLast="0" w:name="_koisidgmxybe" w:id="0"/>
      <w:bookmarkEnd w:id="0"/>
      <w:r w:rsidDel="00000000" w:rsidR="00000000" w:rsidRPr="00000000">
        <w:rPr>
          <w:rFonts w:ascii="Open Sans" w:cs="Open Sans" w:eastAsia="Open Sans" w:hAnsi="Open Sans"/>
          <w:rtl w:val="0"/>
        </w:rPr>
        <w:t xml:space="preserve">INTRODUCCIÓN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Ingresar y ajustar fechas en un conjunto de datos muchas veces se puede convertir en un trabajo tedioso y frustrante debido a los diferentes formatos en que se puede presentar esta información. Durante esta práctica atomizaremos, normalizaremos y estandarizaremos las fechas de su juego de datos para que se ajusten a las recomendaciones de los términos del estándar Darwin Core.</w:t>
      </w:r>
    </w:p>
    <w:p w:rsidR="00000000" w:rsidDel="00000000" w:rsidP="00000000" w:rsidRDefault="00000000" w:rsidRPr="00000000" w14:paraId="00000005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8"/>
          <w:szCs w:val="28"/>
          <w:u w:val="single"/>
        </w:rPr>
      </w:pPr>
      <w:r w:rsidDel="00000000" w:rsidR="00000000" w:rsidRPr="00000000">
        <w:rPr>
          <w:rFonts w:ascii="Open Sans" w:cs="Open Sans" w:eastAsia="Open Sans" w:hAnsi="Open Sans"/>
          <w:sz w:val="40"/>
          <w:szCs w:val="40"/>
          <w:rtl w:val="0"/>
        </w:rPr>
        <w:t xml:space="preserve">ANTES DE EMPEZAR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hyperlink r:id="rId7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Date Parsing</w:t>
        </w:r>
      </w:hyperlink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es una herramienta en línea, desarrollada por </w:t>
      </w:r>
      <w:hyperlink r:id="rId8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​Canadensys </w:t>
        </w:r>
      </w:hyperlink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​(nodo GBIF Canadá), que permite atomizar y estandarizar fechas de forma masiva, de acuerdo a la ISO 8601 en un formato AAAA-MM-DD; siendo el empleado para el estándar Darwin Core.</w:t>
      </w:r>
    </w:p>
    <w:p w:rsidR="00000000" w:rsidDel="00000000" w:rsidP="00000000" w:rsidRDefault="00000000" w:rsidRPr="00000000" w14:paraId="00000008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Heading1"/>
        <w:keepNext w:val="0"/>
        <w:keepLines w:val="0"/>
        <w:spacing w:after="100" w:before="200"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bookmarkStart w:colFirst="0" w:colLast="0" w:name="_fllj7khv1uzr" w:id="1"/>
      <w:bookmarkEnd w:id="1"/>
      <w:r w:rsidDel="00000000" w:rsidR="00000000" w:rsidRPr="00000000">
        <w:rPr>
          <w:rFonts w:ascii="Open Sans" w:cs="Open Sans" w:eastAsia="Open Sans" w:hAnsi="Open Sans"/>
          <w:rtl w:val="0"/>
        </w:rPr>
        <w:t xml:space="preserve">NECESITARÁS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Enlace web a la herramienta:</w:t>
      </w: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​</w:t>
      </w:r>
      <w:hyperlink r:id="rId9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http://data.canadensys.net/tools/dates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Tabla de trabajo: </w:t>
      </w:r>
      <w:hyperlink r:id="rId10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Caso 05_Fechas_PecesMexico.xlsx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 </w:t>
      </w:r>
    </w:p>
    <w:p w:rsidR="00000000" w:rsidDel="00000000" w:rsidP="00000000" w:rsidRDefault="00000000" w:rsidRPr="00000000" w14:paraId="0000000C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40"/>
          <w:szCs w:val="40"/>
          <w:rtl w:val="0"/>
        </w:rPr>
        <w:t xml:space="preserve">INSTRUCCIONES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1.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Conversión de fechas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line="360" w:lineRule="auto"/>
        <w:ind w:left="720" w:hanging="36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Abra la tabla de trabajo. Usted encontrará una columna llamada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EventDate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con fechas de colecta en formatos diferentes y deben estandarizarse de acuerdo a la norma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ISO 8601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que es la misma que aplica el Darwin Core en su estándar (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AAAA-MM-DD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). Seleccione la columna la columna completa y copiela en el portapapeles (Ctrl + C).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360" w:lineRule="auto"/>
        <w:ind w:left="1440" w:firstLine="0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</w:rPr>
        <w:drawing>
          <wp:inline distB="114300" distT="114300" distL="114300" distR="114300">
            <wp:extent cx="1057275" cy="2762250"/>
            <wp:effectExtent b="0" l="0" r="0" t="0"/>
            <wp:docPr id="8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1"/>
                    <a:srcRect b="17847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2762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line="360" w:lineRule="auto"/>
        <w:ind w:left="720" w:hanging="36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Ingrese a la aplicación</w:t>
      </w: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​</w:t>
      </w:r>
      <w:hyperlink r:id="rId12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Date Parsing</w:t>
        </w:r>
      </w:hyperlink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4">
      <w:pPr>
        <w:spacing w:line="360" w:lineRule="auto"/>
        <w:contextualSpacing w:val="0"/>
        <w:jc w:val="center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357813" cy="1899815"/>
            <wp:effectExtent b="0" l="0" r="0" t="0"/>
            <wp:docPr id="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57813" cy="18998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Pegue los datos, previamente copiados, en la aplicación. Tenga en cuenta que debe eliminar el encabezado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EventDate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 Luego de clic en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Submit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para iniciar la conversión de fechas.</w:t>
      </w:r>
    </w:p>
    <w:p w:rsidR="00000000" w:rsidDel="00000000" w:rsidP="00000000" w:rsidRDefault="00000000" w:rsidRPr="00000000" w14:paraId="00000016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360" w:lineRule="auto"/>
        <w:contextualSpacing w:val="0"/>
        <w:jc w:val="both"/>
        <w:rPr>
          <w:rFonts w:ascii="Oswald" w:cs="Oswald" w:eastAsia="Oswald" w:hAnsi="Oswald"/>
          <w:color w:val="258ac7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360" w:lineRule="auto"/>
        <w:contextualSpacing w:val="0"/>
        <w:jc w:val="center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434343"/>
          <w:sz w:val="20"/>
          <w:szCs w:val="20"/>
        </w:rPr>
        <w:drawing>
          <wp:inline distB="114300" distT="114300" distL="114300" distR="114300">
            <wp:extent cx="5731200" cy="2667000"/>
            <wp:effectExtent b="0" l="0" r="0" t="0"/>
            <wp:docPr id="7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67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360" w:lineRule="auto"/>
        <w:ind w:left="566.9291338582675" w:firstLine="0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Tras haberle dado clic al botón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Submit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”, obtendrá el siguiente resultado. Note que donde dice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ISO 8601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se encuentra el resultado de la estandarización de las fechas.</w:t>
      </w:r>
    </w:p>
    <w:p w:rsidR="00000000" w:rsidDel="00000000" w:rsidP="00000000" w:rsidRDefault="00000000" w:rsidRPr="00000000" w14:paraId="0000001C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</w:rPr>
        <w:drawing>
          <wp:inline distB="114300" distT="114300" distL="114300" distR="114300">
            <wp:extent cx="5731200" cy="3111500"/>
            <wp:effectExtent b="0" l="0" r="0" t="0"/>
            <wp:docPr id="6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1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Paso 2. Actualización de la tabla de trabajo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spacing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este paso actualizaremos la tabla con los valores atomizados y normalizados. Desde la página Date Parsing con sus resultados seleccione los la tabla arrojada como resultado (Ctrl + C). </w:t>
      </w:r>
    </w:p>
    <w:p w:rsidR="00000000" w:rsidDel="00000000" w:rsidP="00000000" w:rsidRDefault="00000000" w:rsidRPr="00000000" w14:paraId="00000021">
      <w:pPr>
        <w:spacing w:line="360" w:lineRule="auto"/>
        <w:ind w:left="283.46456692913375" w:firstLine="0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color w:val="434343"/>
          <w:sz w:val="20"/>
          <w:szCs w:val="20"/>
        </w:rPr>
        <w:drawing>
          <wp:inline distB="114300" distT="114300" distL="114300" distR="114300">
            <wp:extent cx="5731200" cy="3098800"/>
            <wp:effectExtent b="0" l="0" r="0" t="0"/>
            <wp:docPr id="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9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spacing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archivo de los resultados abra una nueva hoja de cálculo vacía.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spacing w:line="360" w:lineRule="auto"/>
        <w:ind w:left="720" w:hanging="360"/>
        <w:contextualSpacing w:val="1"/>
        <w:jc w:val="both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Pegue la tabla copiada en la tabla de trabajo </w:t>
      </w: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Microsoft Office Excel 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Para hacerlo ingrese a la pestaña de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Inicio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en el menú superior. Allí seleccione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Pegar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Pegado especial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*</w:t>
      </w:r>
    </w:p>
    <w:p w:rsidR="00000000" w:rsidDel="00000000" w:rsidP="00000000" w:rsidRDefault="00000000" w:rsidRPr="00000000" w14:paraId="00000024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contextualSpacing w:val="0"/>
        <w:jc w:val="center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2895600" cy="2019300"/>
            <wp:effectExtent b="0" l="0" r="0" t="0"/>
            <wp:docPr id="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019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360" w:lineRule="auto"/>
        <w:ind w:left="708.6614173228347" w:firstLine="0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el menú de pegado especial seleccione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Texto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y de clic en “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Aceptar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”.</w:t>
      </w:r>
    </w:p>
    <w:p w:rsidR="00000000" w:rsidDel="00000000" w:rsidP="00000000" w:rsidRDefault="00000000" w:rsidRPr="00000000" w14:paraId="00000028">
      <w:pPr>
        <w:spacing w:line="360" w:lineRule="auto"/>
        <w:contextualSpacing w:val="0"/>
        <w:jc w:val="center"/>
        <w:rPr>
          <w:rFonts w:ascii="Open Sans" w:cs="Open Sans" w:eastAsia="Open Sans" w:hAnsi="Open Sans"/>
          <w:color w:val="434343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color w:val="434343"/>
          <w:sz w:val="20"/>
          <w:szCs w:val="20"/>
        </w:rPr>
        <w:drawing>
          <wp:inline distB="114300" distT="114300" distL="114300" distR="114300">
            <wp:extent cx="4178471" cy="3290888"/>
            <wp:effectExtent b="0" l="0" r="0" t="0"/>
            <wp:docPr id="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78471" cy="3290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color w:val="434343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contextualSpacing w:val="1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Copie los resultados en los campos correspondientes de la tabla de trabajo. </w:t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contextualSpacing w:val="1"/>
        <w:jc w:val="both"/>
        <w:rPr>
          <w:rFonts w:ascii="Open Sans" w:cs="Open Sans" w:eastAsia="Open Sans" w:hAnsi="Open Sans"/>
          <w:sz w:val="20"/>
          <w:szCs w:val="20"/>
          <w:u w:val="none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Guarde los resultados.</w:t>
      </w:r>
    </w:p>
    <w:p w:rsidR="00000000" w:rsidDel="00000000" w:rsidP="00000000" w:rsidRDefault="00000000" w:rsidRPr="00000000" w14:paraId="0000002C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1"/>
        <w:keepNext w:val="0"/>
        <w:keepLines w:val="0"/>
        <w:spacing w:after="100" w:before="200" w:line="360" w:lineRule="auto"/>
        <w:contextualSpacing w:val="0"/>
        <w:rPr>
          <w:rFonts w:ascii="Open Sans" w:cs="Open Sans" w:eastAsia="Open Sans" w:hAnsi="Open Sans"/>
        </w:rPr>
      </w:pPr>
      <w:bookmarkStart w:colFirst="0" w:colLast="0" w:name="_ex5zvwafwtxv" w:id="2"/>
      <w:bookmarkEnd w:id="2"/>
      <w:r w:rsidDel="00000000" w:rsidR="00000000" w:rsidRPr="00000000">
        <w:rPr>
          <w:rFonts w:ascii="Open Sans" w:cs="Open Sans" w:eastAsia="Open Sans" w:hAnsi="Open Sans"/>
          <w:rtl w:val="0"/>
        </w:rPr>
        <w:t xml:space="preserve">PARA SABER MÁS</w:t>
      </w:r>
    </w:p>
    <w:p w:rsidR="00000000" w:rsidDel="00000000" w:rsidP="00000000" w:rsidRDefault="00000000" w:rsidRPr="00000000" w14:paraId="0000002E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Además del campo </w:t>
      </w:r>
      <w:hyperlink r:id="rId19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EvenDate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para indicar el momento en el que tuvo lugar el evento de una manera estandarizada, el estándar Darwin Core cuenta con un término específico para indicar la fecha original “</w:t>
      </w:r>
      <w:hyperlink r:id="rId20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VerbatimEventDate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que nos permite compartir la fecha tal cual se guardó en el origen.</w:t>
      </w:r>
    </w:p>
    <w:p w:rsidR="00000000" w:rsidDel="00000000" w:rsidP="00000000" w:rsidRDefault="00000000" w:rsidRPr="00000000" w14:paraId="0000002F">
      <w:pPr>
        <w:spacing w:line="360" w:lineRule="auto"/>
        <w:contextualSpacing w:val="0"/>
        <w:jc w:val="both"/>
        <w:rPr>
          <w:rFonts w:ascii="Open Sans" w:cs="Open Sans" w:eastAsia="Open Sans" w:hAnsi="Open Sans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360" w:lineRule="auto"/>
        <w:contextualSpacing w:val="0"/>
        <w:rPr/>
      </w:pP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 w:footer="36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Oswald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://rs.tdwg.org/dwc/terms/#verbatimEventDate" TargetMode="External"/><Relationship Id="rId11" Type="http://schemas.openxmlformats.org/officeDocument/2006/relationships/image" Target="media/image16.png"/><Relationship Id="rId10" Type="http://schemas.openxmlformats.org/officeDocument/2006/relationships/hyperlink" Target="https://drive.google.com/open?id=1Mu1DR6vXPjS_M-onLG7ev_a4w48upJbn" TargetMode="External"/><Relationship Id="rId13" Type="http://schemas.openxmlformats.org/officeDocument/2006/relationships/image" Target="media/image8.png"/><Relationship Id="rId12" Type="http://schemas.openxmlformats.org/officeDocument/2006/relationships/hyperlink" Target="http://data.canadensys.net/tools/dates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://data.canadensys.net/tools/dates" TargetMode="External"/><Relationship Id="rId15" Type="http://schemas.openxmlformats.org/officeDocument/2006/relationships/image" Target="media/image14.png"/><Relationship Id="rId14" Type="http://schemas.openxmlformats.org/officeDocument/2006/relationships/image" Target="media/image15.png"/><Relationship Id="rId17" Type="http://schemas.openxmlformats.org/officeDocument/2006/relationships/image" Target="media/image13.png"/><Relationship Id="rId16" Type="http://schemas.openxmlformats.org/officeDocument/2006/relationships/image" Target="media/image7.png"/><Relationship Id="rId5" Type="http://schemas.openxmlformats.org/officeDocument/2006/relationships/styles" Target="styles.xml"/><Relationship Id="rId19" Type="http://schemas.openxmlformats.org/officeDocument/2006/relationships/hyperlink" Target="http://rs.tdwg.org/dwc/terms/eventDate" TargetMode="External"/><Relationship Id="rId6" Type="http://schemas.openxmlformats.org/officeDocument/2006/relationships/image" Target="media/image12.png"/><Relationship Id="rId18" Type="http://schemas.openxmlformats.org/officeDocument/2006/relationships/image" Target="media/image11.png"/><Relationship Id="rId7" Type="http://schemas.openxmlformats.org/officeDocument/2006/relationships/hyperlink" Target="http://data.canadensys.net/tools/dates" TargetMode="External"/><Relationship Id="rId8" Type="http://schemas.openxmlformats.org/officeDocument/2006/relationships/hyperlink" Target="http://www.canadensys.net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swald-regular.ttf"/><Relationship Id="rId2" Type="http://schemas.openxmlformats.org/officeDocument/2006/relationships/font" Target="fonts/Oswald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