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E26" w:rsidRDefault="00E11BD0">
      <w:pPr>
        <w:spacing w:line="360" w:lineRule="auto"/>
        <w:jc w:val="center"/>
        <w:rPr>
          <w:rFonts w:ascii="Oswald" w:eastAsia="Oswald" w:hAnsi="Oswald" w:cs="Oswald"/>
          <w:color w:val="37DF98"/>
          <w:sz w:val="48"/>
          <w:szCs w:val="48"/>
        </w:rPr>
      </w:pPr>
      <w:r>
        <w:rPr>
          <w:rFonts w:ascii="Oswald" w:eastAsia="Oswald" w:hAnsi="Oswald" w:cs="Oswald"/>
          <w:color w:val="37DF98"/>
          <w:sz w:val="48"/>
          <w:szCs w:val="48"/>
        </w:rPr>
        <w:t>INFORME SOBRE LOS PECES DE AGUA DULCE DEL ESTADO DE HIDALGO (MÉXICO)</w:t>
      </w:r>
    </w:p>
    <w:p w:rsidR="00D10E26" w:rsidRDefault="00E11BD0">
      <w:pPr>
        <w:spacing w:line="360" w:lineRule="auto"/>
        <w:jc w:val="center"/>
        <w:rPr>
          <w:rFonts w:ascii="Oswald" w:eastAsia="Oswald" w:hAnsi="Oswald" w:cs="Oswald"/>
          <w:color w:val="37DF98"/>
          <w:sz w:val="36"/>
          <w:szCs w:val="36"/>
        </w:rPr>
      </w:pPr>
      <w:r>
        <w:rPr>
          <w:rFonts w:ascii="Oswald" w:eastAsia="Oswald" w:hAnsi="Oswald" w:cs="Oswald"/>
          <w:color w:val="37DF98"/>
          <w:sz w:val="36"/>
          <w:szCs w:val="36"/>
        </w:rPr>
        <w:t>Museo de Zoología (MZ)</w:t>
      </w:r>
    </w:p>
    <w:p w:rsidR="00D10E26" w:rsidRDefault="00E11BD0">
      <w:pPr>
        <w:spacing w:line="360" w:lineRule="auto"/>
        <w:jc w:val="center"/>
        <w:rPr>
          <w:rFonts w:ascii="Oswald" w:eastAsia="Oswald" w:hAnsi="Oswald" w:cs="Oswald"/>
          <w:color w:val="37DF98"/>
          <w:sz w:val="36"/>
          <w:szCs w:val="36"/>
        </w:rPr>
      </w:pPr>
      <w:r>
        <w:rPr>
          <w:rFonts w:ascii="Oswald" w:eastAsia="Oswald" w:hAnsi="Oswald" w:cs="Oswald"/>
          <w:color w:val="37DF98"/>
          <w:sz w:val="36"/>
          <w:szCs w:val="36"/>
        </w:rPr>
        <w:t>Colección de Ictiología</w:t>
      </w:r>
    </w:p>
    <w:p w:rsidR="00D10E26" w:rsidRDefault="00D10E26">
      <w:pP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</w:p>
    <w:p w:rsidR="00D10E26" w:rsidRDefault="00E11BD0">
      <w:pPr>
        <w:spacing w:after="200"/>
        <w:ind w:left="-144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  <w:r>
        <w:rPr>
          <w:rFonts w:ascii="Open Sans" w:eastAsia="Open Sans" w:hAnsi="Open Sans" w:cs="Open Sans"/>
          <w:noProof/>
          <w:color w:val="666666"/>
          <w:sz w:val="24"/>
          <w:szCs w:val="24"/>
        </w:rPr>
        <w:drawing>
          <wp:inline distT="114300" distB="114300" distL="114300" distR="114300">
            <wp:extent cx="7529513" cy="4200268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9513" cy="42002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10E26" w:rsidRDefault="00D10E26">
      <w:pPr>
        <w:spacing w:after="200"/>
        <w:jc w:val="center"/>
        <w:rPr>
          <w:rFonts w:ascii="Open Sans" w:eastAsia="Open Sans" w:hAnsi="Open Sans" w:cs="Open Sans"/>
          <w:sz w:val="20"/>
          <w:szCs w:val="20"/>
        </w:rPr>
      </w:pPr>
    </w:p>
    <w:p w:rsidR="00D10E26" w:rsidRDefault="00E11BD0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  <w:r>
        <w:rPr>
          <w:rFonts w:ascii="Open Sans" w:eastAsia="Open Sans" w:hAnsi="Open Sans" w:cs="Open Sans"/>
          <w:color w:val="666666"/>
          <w:sz w:val="24"/>
          <w:szCs w:val="24"/>
        </w:rPr>
        <w:t>Dra. María Gracia</w:t>
      </w:r>
    </w:p>
    <w:p w:rsidR="00D10E26" w:rsidRDefault="00E11BD0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Calibri" w:eastAsia="Calibri" w:hAnsi="Calibri" w:cs="Calibri"/>
        </w:rPr>
      </w:pPr>
      <w:r>
        <w:rPr>
          <w:rFonts w:ascii="Open Sans" w:eastAsia="Open Sans" w:hAnsi="Open Sans" w:cs="Open Sans"/>
          <w:color w:val="666666"/>
          <w:sz w:val="24"/>
          <w:szCs w:val="24"/>
        </w:rPr>
        <w:t>Directora del Museo</w:t>
      </w:r>
    </w:p>
    <w:p w:rsidR="00D10E26" w:rsidRDefault="00D10E26">
      <w:pPr>
        <w:spacing w:after="200"/>
        <w:jc w:val="center"/>
        <w:rPr>
          <w:rFonts w:ascii="Calibri" w:eastAsia="Calibri" w:hAnsi="Calibri" w:cs="Calibri"/>
        </w:rPr>
      </w:pPr>
    </w:p>
    <w:p w:rsidR="00D10E26" w:rsidRDefault="00E11BD0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  <w:u w:val="single"/>
        </w:rPr>
      </w:pPr>
      <w:r>
        <w:rPr>
          <w:rFonts w:ascii="Open Sans" w:eastAsia="Open Sans" w:hAnsi="Open Sans" w:cs="Open Sans"/>
          <w:color w:val="666666"/>
          <w:sz w:val="24"/>
          <w:szCs w:val="24"/>
          <w:u w:val="single"/>
        </w:rPr>
        <w:t>Su nombre aquí</w:t>
      </w:r>
    </w:p>
    <w:p w:rsidR="006E055F" w:rsidRDefault="006E055F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  <w:r>
        <w:rPr>
          <w:rFonts w:ascii="Open Sans" w:eastAsia="Open Sans" w:hAnsi="Open Sans" w:cs="Open Sans"/>
          <w:noProof/>
        </w:rPr>
        <w:lastRenderedPageBreak/>
        <mc:AlternateContent>
          <mc:Choice Requires="wps">
            <w:drawing>
              <wp:inline distT="0" distB="0" distL="0" distR="0">
                <wp:extent cx="5667375" cy="2505075"/>
                <wp:effectExtent l="0" t="0" r="28575" b="28575"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3A67A2"/>
                          </a:solidFill>
                        </a:ln>
                      </wps:spPr>
                      <wps:txbx>
                        <w:txbxContent>
                          <w:p w:rsidR="006E055F" w:rsidRDefault="006E055F" w:rsidP="006E055F">
                            <w:pPr>
                              <w:pStyle w:val="Ttulo1"/>
                              <w:keepNext w:val="0"/>
                              <w:keepLines w:val="0"/>
                              <w:spacing w:before="0" w:after="0" w:line="360" w:lineRule="auto"/>
                              <w:rPr>
                                <w:rFonts w:ascii="Open Sans" w:eastAsia="Open Sans" w:hAnsi="Open Sans" w:cs="Open Sans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</w:rPr>
                              <w:t>EJERCICIO</w:t>
                            </w:r>
                          </w:p>
                          <w:p w:rsidR="006E055F" w:rsidRDefault="006E055F" w:rsidP="006E055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Completar el manuscrito con el texto </w:t>
                            </w:r>
                            <w:r w:rsidR="00F80E5F">
                              <w:t>coloreado</w:t>
                            </w:r>
                            <w:r>
                              <w:t xml:space="preserve"> en </w:t>
                            </w:r>
                            <w:r w:rsidRPr="00652CCF">
                              <w:rPr>
                                <w:color w:val="3A67A2"/>
                              </w:rPr>
                              <w:t>azul</w:t>
                            </w:r>
                            <w:r>
                              <w:t>.</w:t>
                            </w:r>
                          </w:p>
                          <w:p w:rsidR="006E055F" w:rsidRDefault="006E055F" w:rsidP="006E055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Añadir l</w:t>
                            </w:r>
                            <w:r w:rsidR="002C7AC8">
                              <w:t>o</w:t>
                            </w:r>
                            <w:r>
                              <w:t xml:space="preserve">s contenidos extras subrayados en </w:t>
                            </w:r>
                            <w:r w:rsidRPr="006E055F">
                              <w:rPr>
                                <w:highlight w:val="yellow"/>
                              </w:rPr>
                              <w:t>amarillo</w:t>
                            </w:r>
                            <w:r w:rsidR="002C7AC8">
                              <w:t xml:space="preserve"> y referenciarlos dentro del texto.</w:t>
                            </w:r>
                          </w:p>
                          <w:p w:rsidR="002C7AC8" w:rsidRDefault="002C7AC8" w:rsidP="002C7AC8">
                            <w:pPr>
                              <w:pStyle w:val="Prrafodelista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Tabla 1.</w:t>
                            </w:r>
                          </w:p>
                          <w:p w:rsidR="002C7AC8" w:rsidRDefault="002C7AC8" w:rsidP="002C7AC8">
                            <w:pPr>
                              <w:pStyle w:val="Prrafodelista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Figuras 1 y 2.</w:t>
                            </w:r>
                          </w:p>
                          <w:p w:rsidR="002C7AC8" w:rsidRDefault="002C7AC8" w:rsidP="002C7AC8">
                            <w:pPr>
                              <w:pStyle w:val="Prrafodelista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Apéndice.</w:t>
                            </w:r>
                          </w:p>
                          <w:p w:rsidR="002C7AC8" w:rsidRDefault="002C7AC8" w:rsidP="002C7AC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Añadir las referencias bibliográficas </w:t>
                            </w:r>
                            <w:r w:rsidR="00343582" w:rsidRPr="00343582">
                              <w:rPr>
                                <w:highlight w:val="lightGray"/>
                              </w:rPr>
                              <w:t>subrayadas en gris</w:t>
                            </w:r>
                            <w:r w:rsidR="00343582">
                              <w:t xml:space="preserve"> </w:t>
                            </w:r>
                            <w:r>
                              <w:t>y referenciarlas dentro del texto.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width:446.25pt;height:1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" fillcolor="white [3201]" strokecolor="#3a67a2" strokeweight="1pt">
                <v:textbox>
                  <w:txbxContent>
                    <w:p w:rsidR="006E055F" w:rsidRDefault="006E055F" w:rsidP="006E055F">
                      <w:pPr>
                        <w:pStyle w:val="Ttulo1"/>
                        <w:keepNext w:val="0"/>
                        <w:keepLines w:val="0"/>
                        <w:spacing w:before="0" w:after="0" w:line="360" w:lineRule="auto"/>
                        <w:rPr>
                          <w:rFonts w:ascii="Open Sans" w:eastAsia="Open Sans" w:hAnsi="Open Sans" w:cs="Open Sans"/>
                        </w:rPr>
                      </w:pPr>
                      <w:r>
                        <w:rPr>
                          <w:rFonts w:ascii="Open Sans" w:eastAsia="Open Sans" w:hAnsi="Open Sans" w:cs="Open Sans"/>
                        </w:rPr>
                        <w:t>EJERCICIO</w:t>
                      </w:r>
                    </w:p>
                    <w:p w:rsidR="006E055F" w:rsidRDefault="006E055F" w:rsidP="006E055F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 xml:space="preserve">Completar el manuscrito con el texto </w:t>
                      </w:r>
                      <w:r w:rsidR="00F80E5F">
                        <w:t>coloreado</w:t>
                      </w:r>
                      <w:r>
                        <w:t xml:space="preserve"> en </w:t>
                      </w:r>
                      <w:r w:rsidRPr="00652CCF">
                        <w:rPr>
                          <w:color w:val="3A67A2"/>
                        </w:rPr>
                        <w:t>azul</w:t>
                      </w:r>
                      <w:r>
                        <w:t>.</w:t>
                      </w:r>
                    </w:p>
                    <w:p w:rsidR="006E055F" w:rsidRDefault="006E055F" w:rsidP="006E055F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Añadir l</w:t>
                      </w:r>
                      <w:r w:rsidR="002C7AC8">
                        <w:t>o</w:t>
                      </w:r>
                      <w:r>
                        <w:t xml:space="preserve">s contenidos extras subrayados en </w:t>
                      </w:r>
                      <w:r w:rsidRPr="006E055F">
                        <w:rPr>
                          <w:highlight w:val="yellow"/>
                        </w:rPr>
                        <w:t>amarillo</w:t>
                      </w:r>
                      <w:r w:rsidR="002C7AC8">
                        <w:t xml:space="preserve"> y referenciarlos dentro del texto.</w:t>
                      </w:r>
                    </w:p>
                    <w:p w:rsidR="002C7AC8" w:rsidRDefault="002C7AC8" w:rsidP="002C7AC8">
                      <w:pPr>
                        <w:pStyle w:val="Prrafodelista"/>
                        <w:numPr>
                          <w:ilvl w:val="1"/>
                          <w:numId w:val="2"/>
                        </w:numPr>
                      </w:pPr>
                      <w:r>
                        <w:t>Tabla 1.</w:t>
                      </w:r>
                    </w:p>
                    <w:p w:rsidR="002C7AC8" w:rsidRDefault="002C7AC8" w:rsidP="002C7AC8">
                      <w:pPr>
                        <w:pStyle w:val="Prrafodelista"/>
                        <w:numPr>
                          <w:ilvl w:val="1"/>
                          <w:numId w:val="2"/>
                        </w:numPr>
                      </w:pPr>
                      <w:r>
                        <w:t>Figuras 1 y 2.</w:t>
                      </w:r>
                    </w:p>
                    <w:p w:rsidR="002C7AC8" w:rsidRDefault="002C7AC8" w:rsidP="002C7AC8">
                      <w:pPr>
                        <w:pStyle w:val="Prrafodelista"/>
                        <w:numPr>
                          <w:ilvl w:val="1"/>
                          <w:numId w:val="2"/>
                        </w:numPr>
                      </w:pPr>
                      <w:r>
                        <w:t>Apéndice.</w:t>
                      </w:r>
                    </w:p>
                    <w:p w:rsidR="002C7AC8" w:rsidRDefault="002C7AC8" w:rsidP="002C7AC8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 xml:space="preserve">Añadir las referencias bibliográficas </w:t>
                      </w:r>
                      <w:r w:rsidR="00343582" w:rsidRPr="00343582">
                        <w:rPr>
                          <w:highlight w:val="lightGray"/>
                        </w:rPr>
                        <w:t>subrayadas en gris</w:t>
                      </w:r>
                      <w:r w:rsidR="00343582">
                        <w:t xml:space="preserve"> </w:t>
                      </w:r>
                      <w:r>
                        <w:t>y referenciarlas dentro del texto.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E055F" w:rsidRDefault="006E055F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</w:p>
    <w:p w:rsidR="00D10E26" w:rsidRDefault="00E11BD0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Open Sans" w:eastAsia="Open Sans" w:hAnsi="Open Sans" w:cs="Open Sans"/>
          <w:color w:val="666666"/>
          <w:sz w:val="24"/>
          <w:szCs w:val="24"/>
        </w:rPr>
      </w:pPr>
      <w:r>
        <w:rPr>
          <w:rFonts w:ascii="Open Sans" w:eastAsia="Open Sans" w:hAnsi="Open Sans" w:cs="Open Sans"/>
          <w:color w:val="666666"/>
          <w:sz w:val="24"/>
          <w:szCs w:val="24"/>
        </w:rPr>
        <w:t>Investigador adjunto</w:t>
      </w:r>
    </w:p>
    <w:p w:rsidR="00D10E26" w:rsidRDefault="00E11BD0">
      <w:pPr>
        <w:pStyle w:val="Ttulo1"/>
        <w:keepNext w:val="0"/>
        <w:keepLines w:val="0"/>
        <w:spacing w:before="0" w:after="0" w:line="360" w:lineRule="auto"/>
        <w:rPr>
          <w:rFonts w:ascii="Open Sans" w:eastAsia="Open Sans" w:hAnsi="Open Sans" w:cs="Open Sans"/>
          <w:b/>
          <w:sz w:val="20"/>
          <w:szCs w:val="20"/>
        </w:rPr>
      </w:pPr>
      <w:bookmarkStart w:id="0" w:name="_h1lelh10ig61" w:colFirst="0" w:colLast="0"/>
      <w:bookmarkEnd w:id="0"/>
      <w:r>
        <w:rPr>
          <w:rFonts w:ascii="Open Sans" w:eastAsia="Open Sans" w:hAnsi="Open Sans" w:cs="Open Sans"/>
        </w:rPr>
        <w:t>DESCRIPCIÓN</w:t>
      </w: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Este conjunto de datos comprende los registros de muestreo de dos proyectos desarrollados en Hidalgo entre 2007 y 2008 sobre las comunidades de peces de agua dulce del lago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Tecocomulco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y los ríos pertenecientes a la Reserva de la Biosfera del Cañón de Metztitlán. Contiene la identidad taxonómica y los datos biométricos básicos (longitud y peso total), así como la fecha de recolección y las coordenadas de más de 999 especímenes. </w:t>
      </w: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Todos los especímenes están identificados a nivel de especie. La colección comprende 17 especies (y dos híbridos) de peces pertenecientes a ocho familias de los órdenes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Atheriniformes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,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Ciprinodontiformes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,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Ostariophysi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y Perciformes.</w:t>
      </w:r>
    </w:p>
    <w:p w:rsidR="00D10E26" w:rsidRDefault="00D10E26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sz w:val="40"/>
          <w:szCs w:val="40"/>
        </w:rPr>
        <w:t>ÁREA DE ESTUDIO</w:t>
      </w:r>
    </w:p>
    <w:p w:rsidR="00D10E26" w:rsidRPr="00652CCF" w:rsidRDefault="00E11BD0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La expedición para la captura de especímenes se realizó en el Lago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Tecocomulco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(19.83-19.90N; 98.44-98.35W), ubicado en la Reserva de la Biosfera Barranca de Metztitlán (20.23-20.75N; 98.95-98.38W) del Estado de Hidalgo, Centro-Este de </w:t>
      </w:r>
      <w:r w:rsidRPr="00652CCF">
        <w:rPr>
          <w:rFonts w:ascii="Open Sans" w:eastAsia="Open Sans" w:hAnsi="Open Sans" w:cs="Open Sans"/>
          <w:sz w:val="20"/>
          <w:szCs w:val="20"/>
        </w:rPr>
        <w:t>México</w:t>
      </w:r>
      <w:r w:rsidR="00F06E43" w:rsidRPr="00652CCF">
        <w:rPr>
          <w:rFonts w:ascii="Open Sans" w:eastAsia="Open Sans" w:hAnsi="Open Sans" w:cs="Open Sans"/>
          <w:sz w:val="20"/>
          <w:szCs w:val="20"/>
        </w:rPr>
        <w:t xml:space="preserve"> </w:t>
      </w:r>
      <w:r w:rsidR="00F06E43" w:rsidRPr="00652CCF">
        <w:rPr>
          <w:rFonts w:ascii="Open Sans" w:eastAsia="Open Sans" w:hAnsi="Open Sans" w:cs="Open Sans"/>
          <w:sz w:val="20"/>
          <w:szCs w:val="20"/>
          <w:highlight w:val="yellow"/>
        </w:rPr>
        <w:t>(Figura 1)</w:t>
      </w:r>
      <w:r w:rsidRPr="00652CCF">
        <w:rPr>
          <w:rFonts w:ascii="Open Sans" w:eastAsia="Open Sans" w:hAnsi="Open Sans" w:cs="Open Sans"/>
          <w:sz w:val="20"/>
          <w:szCs w:val="20"/>
          <w:highlight w:val="yellow"/>
        </w:rPr>
        <w:t>.</w:t>
      </w:r>
    </w:p>
    <w:p w:rsidR="00D10E26" w:rsidRDefault="00D10E26">
      <w:pPr>
        <w:spacing w:after="200" w:line="360" w:lineRule="auto"/>
        <w:jc w:val="both"/>
        <w:rPr>
          <w:rFonts w:ascii="Open Sans" w:eastAsia="Open Sans" w:hAnsi="Open Sans" w:cs="Open Sans"/>
          <w:b/>
          <w:sz w:val="20"/>
          <w:szCs w:val="20"/>
        </w:rPr>
      </w:pP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sz w:val="40"/>
          <w:szCs w:val="40"/>
        </w:rPr>
        <w:t>METODOLOGÍA</w:t>
      </w: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lastRenderedPageBreak/>
        <w:t xml:space="preserve">Se tomaron muestras de cuarenta y tres localidades a lo largo de los ríos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Amajac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y Metztitlán y el lago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Tecocomulco</w:t>
      </w:r>
      <w:proofErr w:type="spellEnd"/>
      <w:r>
        <w:rPr>
          <w:rFonts w:ascii="Open Sans" w:eastAsia="Open Sans" w:hAnsi="Open Sans" w:cs="Open Sans"/>
          <w:sz w:val="20"/>
          <w:szCs w:val="20"/>
        </w:rPr>
        <w:t>. Todos los especímenes capturados fueron medidos, ponderados e identificados (sexo y especie) antes de ser liberados. La mayoría de los especímenes fueron devueltos a su hábitat. Las muestras del comprobante se sacrificaron mediante una sobredosis de anestesia y se transportaron al laboratorio para su identificación taxonómica y estudio.</w:t>
      </w:r>
      <w:r w:rsidR="00AA30AF">
        <w:rPr>
          <w:rFonts w:ascii="Open Sans" w:eastAsia="Open Sans" w:hAnsi="Open Sans" w:cs="Open Sans"/>
          <w:sz w:val="20"/>
          <w:szCs w:val="20"/>
        </w:rPr>
        <w:t xml:space="preserve"> </w:t>
      </w:r>
      <w:r w:rsidR="00AA30AF" w:rsidRPr="00AA30AF">
        <w:rPr>
          <w:rFonts w:ascii="Open Sans" w:eastAsia="Open Sans" w:hAnsi="Open Sans" w:cs="Open Sans"/>
          <w:color w:val="3A67A2"/>
          <w:sz w:val="20"/>
          <w:szCs w:val="20"/>
        </w:rPr>
        <w:t xml:space="preserve">El diagrama de trabajo se muestra en el </w:t>
      </w:r>
      <w:r w:rsidR="00AA30AF" w:rsidRPr="00652CCF">
        <w:rPr>
          <w:rFonts w:ascii="Open Sans" w:eastAsia="Open Sans" w:hAnsi="Open Sans" w:cs="Open Sans"/>
          <w:color w:val="3A67A2"/>
          <w:sz w:val="20"/>
          <w:szCs w:val="20"/>
          <w:highlight w:val="yellow"/>
        </w:rPr>
        <w:t>apéndice S1</w:t>
      </w:r>
      <w:r w:rsidR="00AA30AF" w:rsidRPr="00AA30AF">
        <w:rPr>
          <w:rFonts w:ascii="Open Sans" w:eastAsia="Open Sans" w:hAnsi="Open Sans" w:cs="Open Sans"/>
          <w:color w:val="3A67A2"/>
          <w:sz w:val="20"/>
          <w:szCs w:val="20"/>
        </w:rPr>
        <w:t>.</w:t>
      </w: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La identidad taxonómica de todas las especies e híbridos fue verificada utilizando literatura adecuada </w:t>
      </w:r>
      <w:r w:rsidRPr="002C7AC8">
        <w:rPr>
          <w:rFonts w:ascii="Open Sans" w:eastAsia="Open Sans" w:hAnsi="Open Sans" w:cs="Open Sans"/>
          <w:sz w:val="20"/>
          <w:szCs w:val="20"/>
          <w:highlight w:val="lightGray"/>
        </w:rPr>
        <w:t>(</w:t>
      </w:r>
      <w:proofErr w:type="spellStart"/>
      <w:r w:rsidRPr="002C7AC8">
        <w:rPr>
          <w:rFonts w:ascii="Open Sans" w:eastAsia="Open Sans" w:hAnsi="Open Sans" w:cs="Open Sans"/>
          <w:sz w:val="20"/>
          <w:szCs w:val="20"/>
          <w:highlight w:val="lightGray"/>
        </w:rPr>
        <w:t>Hubbs</w:t>
      </w:r>
      <w:proofErr w:type="spellEnd"/>
      <w:r w:rsidRPr="002C7AC8">
        <w:rPr>
          <w:rFonts w:ascii="Open Sans" w:eastAsia="Open Sans" w:hAnsi="Open Sans" w:cs="Open Sans"/>
          <w:sz w:val="20"/>
          <w:szCs w:val="20"/>
          <w:highlight w:val="lightGray"/>
        </w:rPr>
        <w:t xml:space="preserve"> 1924, </w:t>
      </w:r>
      <w:proofErr w:type="spellStart"/>
      <w:r w:rsidRPr="002C7AC8">
        <w:rPr>
          <w:rFonts w:ascii="Open Sans" w:eastAsia="Open Sans" w:hAnsi="Open Sans" w:cs="Open Sans"/>
          <w:sz w:val="20"/>
          <w:szCs w:val="20"/>
          <w:highlight w:val="lightGray"/>
        </w:rPr>
        <w:t>Hubbs</w:t>
      </w:r>
      <w:proofErr w:type="spellEnd"/>
      <w:r w:rsidRPr="002C7AC8">
        <w:rPr>
          <w:rFonts w:ascii="Open Sans" w:eastAsia="Open Sans" w:hAnsi="Open Sans" w:cs="Open Sans"/>
          <w:sz w:val="20"/>
          <w:szCs w:val="20"/>
          <w:highlight w:val="lightGray"/>
        </w:rPr>
        <w:t xml:space="preserve"> y Turner 1939, Miller 1974)</w:t>
      </w:r>
      <w:r w:rsidR="003D7E60">
        <w:rPr>
          <w:rFonts w:ascii="Open Sans" w:eastAsia="Open Sans" w:hAnsi="Open Sans" w:cs="Open Sans"/>
          <w:sz w:val="20"/>
          <w:szCs w:val="20"/>
        </w:rPr>
        <w:t xml:space="preserve"> </w:t>
      </w:r>
      <w:r w:rsidR="003D7E60" w:rsidRPr="00652CCF">
        <w:rPr>
          <w:rFonts w:ascii="Open Sans" w:eastAsia="Open Sans" w:hAnsi="Open Sans" w:cs="Open Sans"/>
          <w:color w:val="3A67A2"/>
          <w:sz w:val="20"/>
          <w:szCs w:val="20"/>
          <w:highlight w:val="yellow"/>
        </w:rPr>
        <w:t>(Tabla 1)</w:t>
      </w:r>
      <w:r>
        <w:rPr>
          <w:rFonts w:ascii="Open Sans" w:eastAsia="Open Sans" w:hAnsi="Open Sans" w:cs="Open Sans"/>
          <w:sz w:val="20"/>
          <w:szCs w:val="20"/>
        </w:rPr>
        <w:t xml:space="preserve">. Los nombres científicos se validaron de acuerdo con el Catálogo de peces de W. N.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Eschmeyer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(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Eschmeyer</w:t>
      </w:r>
      <w:proofErr w:type="spellEnd"/>
      <w:r>
        <w:rPr>
          <w:rFonts w:ascii="Open Sans" w:eastAsia="Open Sans" w:hAnsi="Open Sans" w:cs="Open Sans"/>
          <w:sz w:val="20"/>
          <w:szCs w:val="20"/>
        </w:rPr>
        <w:t xml:space="preserve"> 2004). </w:t>
      </w:r>
      <w:proofErr w:type="spellStart"/>
      <w:r w:rsidR="00860C85" w:rsidRPr="00860C85">
        <w:rPr>
          <w:rFonts w:ascii="Open Sans" w:eastAsia="Open Sans" w:hAnsi="Open Sans" w:cs="Open Sans"/>
          <w:color w:val="3A67A2"/>
          <w:sz w:val="20"/>
          <w:szCs w:val="20"/>
        </w:rPr>
        <w:t>Poeciliidae</w:t>
      </w:r>
      <w:proofErr w:type="spellEnd"/>
      <w:r w:rsidR="00860C85" w:rsidRPr="00860C85">
        <w:rPr>
          <w:rFonts w:ascii="Open Sans" w:eastAsia="Open Sans" w:hAnsi="Open Sans" w:cs="Open Sans"/>
          <w:color w:val="3A67A2"/>
          <w:sz w:val="20"/>
          <w:szCs w:val="20"/>
        </w:rPr>
        <w:t xml:space="preserve"> es la familia más abundante, representada por siete especies en el conjunto de datos, aproximadamente el 50% del total de especímenes registrados </w:t>
      </w:r>
      <w:r w:rsidR="00860C85" w:rsidRPr="00652CCF">
        <w:rPr>
          <w:rFonts w:ascii="Open Sans" w:eastAsia="Open Sans" w:hAnsi="Open Sans" w:cs="Open Sans"/>
          <w:color w:val="3A67A2"/>
          <w:sz w:val="20"/>
          <w:szCs w:val="20"/>
          <w:highlight w:val="yellow"/>
        </w:rPr>
        <w:t>(Figura 2)</w:t>
      </w:r>
      <w:r w:rsidR="00860C85" w:rsidRPr="00860C85">
        <w:rPr>
          <w:rFonts w:ascii="Open Sans" w:eastAsia="Open Sans" w:hAnsi="Open Sans" w:cs="Open Sans"/>
          <w:color w:val="3A67A2"/>
          <w:sz w:val="20"/>
          <w:szCs w:val="20"/>
        </w:rPr>
        <w:t>.</w:t>
      </w:r>
    </w:p>
    <w:p w:rsidR="00D10E26" w:rsidRDefault="00D10E26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:rsidR="00D10E26" w:rsidRDefault="00D10E26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:rsidR="00D10E26" w:rsidRDefault="00D10E26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:rsidR="00D10E26" w:rsidRDefault="00E11BD0">
      <w:pPr>
        <w:spacing w:after="200" w:line="360" w:lineRule="auto"/>
        <w:jc w:val="both"/>
        <w:rPr>
          <w:rFonts w:ascii="Open Sans" w:eastAsia="Open Sans" w:hAnsi="Open Sans" w:cs="Open Sans"/>
          <w:sz w:val="40"/>
          <w:szCs w:val="40"/>
        </w:rPr>
      </w:pPr>
      <w:r>
        <w:rPr>
          <w:rFonts w:ascii="Open Sans" w:eastAsia="Open Sans" w:hAnsi="Open Sans" w:cs="Open Sans"/>
          <w:sz w:val="40"/>
          <w:szCs w:val="40"/>
        </w:rPr>
        <w:t>REFERENCIAS</w:t>
      </w:r>
    </w:p>
    <w:p w:rsidR="00D10E26" w:rsidRDefault="00E11BD0" w:rsidP="000302A4">
      <w:pPr>
        <w:numPr>
          <w:ilvl w:val="0"/>
          <w:numId w:val="1"/>
        </w:numPr>
        <w:spacing w:after="300" w:line="360" w:lineRule="auto"/>
        <w:ind w:left="1179" w:hanging="357"/>
        <w:contextualSpacing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proofErr w:type="spellStart"/>
      <w:r>
        <w:rPr>
          <w:rFonts w:ascii="Open Sans" w:eastAsia="Open Sans" w:hAnsi="Open Sans" w:cs="Open Sans"/>
          <w:sz w:val="21"/>
          <w:szCs w:val="21"/>
        </w:rPr>
        <w:t>Hubbs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CL (1924)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Studies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fishes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order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Cyprinodontes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. V. Notes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on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species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Goodea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and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Skiffia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.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Miscellaneous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Publications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Museum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Zoology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,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University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Michigan 148, 1–8.</w:t>
      </w:r>
    </w:p>
    <w:p w:rsidR="00D10E26" w:rsidRDefault="00E11BD0" w:rsidP="000302A4">
      <w:pPr>
        <w:numPr>
          <w:ilvl w:val="0"/>
          <w:numId w:val="1"/>
        </w:numPr>
        <w:spacing w:after="300" w:line="360" w:lineRule="auto"/>
        <w:ind w:left="1179" w:hanging="357"/>
        <w:contextualSpacing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proofErr w:type="spellStart"/>
      <w:r>
        <w:rPr>
          <w:rFonts w:ascii="Open Sans" w:eastAsia="Open Sans" w:hAnsi="Open Sans" w:cs="Open Sans"/>
          <w:sz w:val="21"/>
          <w:szCs w:val="21"/>
        </w:rPr>
        <w:t>Hubbs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CL, Turner CL (1939)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Studies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fishes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order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Cyprinodontes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. XVI. A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revision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Goodeidae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.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Miscellaneous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Publications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Museum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Zoology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,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University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Michigan 42, 1–80.</w:t>
      </w:r>
    </w:p>
    <w:p w:rsidR="00960E36" w:rsidRDefault="00E11BD0" w:rsidP="00960E36">
      <w:pPr>
        <w:numPr>
          <w:ilvl w:val="0"/>
          <w:numId w:val="1"/>
        </w:numPr>
        <w:pBdr>
          <w:left w:val="nil"/>
        </w:pBdr>
        <w:spacing w:after="300" w:line="360" w:lineRule="auto"/>
        <w:ind w:left="1179" w:hanging="357"/>
        <w:contextualSpacing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r>
        <w:rPr>
          <w:rFonts w:ascii="Open Sans" w:eastAsia="Open Sans" w:hAnsi="Open Sans" w:cs="Open Sans"/>
          <w:sz w:val="21"/>
          <w:szCs w:val="21"/>
        </w:rPr>
        <w:t xml:space="preserve">Miller RR (1974)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Mexican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species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genus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Heterandria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,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subgenus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Pseudoxiphophorus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(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Pisces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: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Poeciliidae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).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Transactions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the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San Diego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Society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of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Natural </w:t>
      </w:r>
      <w:proofErr w:type="spellStart"/>
      <w:r>
        <w:rPr>
          <w:rFonts w:ascii="Open Sans" w:eastAsia="Open Sans" w:hAnsi="Open Sans" w:cs="Open Sans"/>
          <w:sz w:val="21"/>
          <w:szCs w:val="21"/>
        </w:rPr>
        <w:t>History</w:t>
      </w:r>
      <w:proofErr w:type="spellEnd"/>
      <w:r>
        <w:rPr>
          <w:rFonts w:ascii="Open Sans" w:eastAsia="Open Sans" w:hAnsi="Open Sans" w:cs="Open Sans"/>
          <w:sz w:val="21"/>
          <w:szCs w:val="21"/>
        </w:rPr>
        <w:t xml:space="preserve"> 17, 235–250.</w:t>
      </w:r>
    </w:p>
    <w:p w:rsidR="00D10E26" w:rsidRPr="00960E36" w:rsidRDefault="00960E36" w:rsidP="00960E36">
      <w:pPr>
        <w:numPr>
          <w:ilvl w:val="0"/>
          <w:numId w:val="1"/>
        </w:numPr>
        <w:pBdr>
          <w:left w:val="nil"/>
        </w:pBdr>
        <w:spacing w:after="300" w:line="360" w:lineRule="auto"/>
        <w:ind w:left="1179" w:hanging="357"/>
        <w:contextualSpacing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Rodeles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, A. A., Galicia, D., Miranda, R.,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Reyjol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, Y., Clavero, M., Blanco-Garrido, F., … Ariño, A. H. (2016).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Iberian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fish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records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in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the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vertebrate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collection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of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the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Museum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of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Zoology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of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the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University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of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Navarra. </w:t>
      </w:r>
      <w:proofErr w:type="spellStart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>Scientific</w:t>
      </w:r>
      <w:proofErr w:type="spellEnd"/>
      <w:r w:rsidRPr="00960E36">
        <w:rPr>
          <w:rFonts w:ascii="Open Sans" w:eastAsia="Open Sans" w:hAnsi="Open Sans" w:cs="Open Sans"/>
          <w:color w:val="4F81BD" w:themeColor="accent1"/>
          <w:sz w:val="21"/>
          <w:szCs w:val="21"/>
        </w:rPr>
        <w:t xml:space="preserve"> Data, 3, 160091. http://doi.org/10.1038/sdata.2016.91</w:t>
      </w:r>
    </w:p>
    <w:p w:rsidR="005E161E" w:rsidRDefault="005E161E" w:rsidP="009B380C">
      <w:pPr>
        <w:spacing w:after="200" w:line="360" w:lineRule="auto"/>
        <w:jc w:val="both"/>
        <w:rPr>
          <w:rFonts w:ascii="Open Sans" w:eastAsia="Open Sans" w:hAnsi="Open Sans" w:cs="Open Sans"/>
          <w:sz w:val="40"/>
          <w:szCs w:val="40"/>
        </w:rPr>
      </w:pPr>
    </w:p>
    <w:p w:rsidR="009B380C" w:rsidRPr="00860C85" w:rsidRDefault="009B380C" w:rsidP="009B380C">
      <w:pPr>
        <w:spacing w:after="200" w:line="360" w:lineRule="auto"/>
        <w:jc w:val="both"/>
        <w:rPr>
          <w:rFonts w:ascii="Open Sans" w:eastAsia="Open Sans" w:hAnsi="Open Sans" w:cs="Open Sans"/>
          <w:sz w:val="40"/>
          <w:szCs w:val="40"/>
        </w:rPr>
      </w:pPr>
      <w:r w:rsidRPr="00860C85">
        <w:rPr>
          <w:rFonts w:ascii="Open Sans" w:eastAsia="Open Sans" w:hAnsi="Open Sans" w:cs="Open Sans"/>
          <w:sz w:val="40"/>
          <w:szCs w:val="40"/>
        </w:rPr>
        <w:lastRenderedPageBreak/>
        <w:t>KEYWORDS</w:t>
      </w:r>
    </w:p>
    <w:p w:rsidR="009B380C" w:rsidRPr="00860C85" w:rsidRDefault="009B380C" w:rsidP="009B380C">
      <w:pPr>
        <w:spacing w:after="200" w:line="360" w:lineRule="auto"/>
        <w:jc w:val="both"/>
        <w:rPr>
          <w:rFonts w:ascii="Open Sans" w:eastAsia="Open Sans" w:hAnsi="Open Sans" w:cs="Open Sans"/>
          <w:color w:val="3A67A2"/>
          <w:sz w:val="20"/>
          <w:szCs w:val="20"/>
        </w:rPr>
      </w:pPr>
      <w:r w:rsidRPr="00860C85">
        <w:rPr>
          <w:rFonts w:ascii="Open Sans" w:eastAsia="Open Sans" w:hAnsi="Open Sans" w:cs="Open Sans"/>
          <w:color w:val="3A67A2"/>
          <w:sz w:val="20"/>
          <w:szCs w:val="20"/>
        </w:rPr>
        <w:t xml:space="preserve">Ocurrencia, biometría, peces dulceacuícolas, especies invasoras, especies amenazadas, conservación, Reserva de la Biosfera Barranca de Metztitlán, </w:t>
      </w:r>
      <w:proofErr w:type="spellStart"/>
      <w:r w:rsidRPr="00860C85">
        <w:rPr>
          <w:rFonts w:ascii="Open Sans" w:eastAsia="Open Sans" w:hAnsi="Open Sans" w:cs="Open Sans"/>
          <w:color w:val="3A67A2"/>
          <w:sz w:val="20"/>
          <w:szCs w:val="20"/>
        </w:rPr>
        <w:t>Mexico</w:t>
      </w:r>
      <w:proofErr w:type="spellEnd"/>
    </w:p>
    <w:p w:rsidR="00D10E26" w:rsidRDefault="00D10E26">
      <w:pPr>
        <w:spacing w:line="360" w:lineRule="auto"/>
        <w:rPr>
          <w:rFonts w:ascii="Open Sans" w:eastAsia="Open Sans" w:hAnsi="Open Sans" w:cs="Open Sans"/>
          <w:sz w:val="20"/>
          <w:szCs w:val="20"/>
        </w:rPr>
      </w:pPr>
    </w:p>
    <w:p w:rsidR="009B380C" w:rsidRPr="00860C85" w:rsidRDefault="009B380C" w:rsidP="009B380C">
      <w:pPr>
        <w:spacing w:after="200" w:line="360" w:lineRule="auto"/>
        <w:jc w:val="both"/>
        <w:rPr>
          <w:rFonts w:ascii="Open Sans" w:eastAsia="Open Sans" w:hAnsi="Open Sans" w:cs="Open Sans"/>
          <w:sz w:val="40"/>
          <w:szCs w:val="40"/>
        </w:rPr>
      </w:pPr>
      <w:r w:rsidRPr="00860C85">
        <w:rPr>
          <w:rFonts w:ascii="Open Sans" w:eastAsia="Open Sans" w:hAnsi="Open Sans" w:cs="Open Sans"/>
          <w:sz w:val="40"/>
          <w:szCs w:val="40"/>
        </w:rPr>
        <w:t>INTRODUCCIÓN</w:t>
      </w:r>
    </w:p>
    <w:p w:rsidR="009B380C" w:rsidRPr="00860C85" w:rsidRDefault="009B380C">
      <w:pPr>
        <w:spacing w:line="360" w:lineRule="auto"/>
        <w:rPr>
          <w:rFonts w:ascii="Open Sans" w:eastAsia="Open Sans" w:hAnsi="Open Sans" w:cs="Open Sans"/>
          <w:color w:val="3A67A2"/>
          <w:sz w:val="20"/>
          <w:szCs w:val="20"/>
        </w:rPr>
      </w:pPr>
      <w:r w:rsidRPr="00860C85">
        <w:rPr>
          <w:rFonts w:ascii="Open Sans" w:eastAsia="Open Sans" w:hAnsi="Open Sans" w:cs="Open Sans"/>
          <w:color w:val="3A67A2"/>
          <w:sz w:val="20"/>
          <w:szCs w:val="20"/>
        </w:rPr>
        <w:t xml:space="preserve">La fauna y flora de México es importante debido a la gran variedad de condiciones climáticas que presenta el territorio. La gran diversidad de peces de agua dulce se deriva de la amplia transición entre la biota templada y la neotropical. De las 504 especies conocidas del país, 271 son endémicas, 168 se encuentran en algún nivel de amenaza y 25 se consideran extintas </w:t>
      </w:r>
      <w:r w:rsidRPr="002C7AC8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 xml:space="preserve">(Contreras-Balderas et al., 2008; </w:t>
      </w:r>
      <w:proofErr w:type="spellStart"/>
      <w:r w:rsidRPr="002C7AC8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>Jelks</w:t>
      </w:r>
      <w:proofErr w:type="spellEnd"/>
      <w:r w:rsidRPr="002C7AC8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 xml:space="preserve"> et al., 2008)</w:t>
      </w:r>
      <w:r w:rsidRPr="00860C85">
        <w:rPr>
          <w:rFonts w:ascii="Open Sans" w:eastAsia="Open Sans" w:hAnsi="Open Sans" w:cs="Open Sans"/>
          <w:color w:val="3A67A2"/>
          <w:sz w:val="20"/>
          <w:szCs w:val="20"/>
        </w:rPr>
        <w:t xml:space="preserve">. Esta colección de datos contiene los registros de muestreo de dos proyectos sobre las comunidades de peces del lago </w:t>
      </w:r>
      <w:proofErr w:type="spellStart"/>
      <w:r w:rsidRPr="00860C85">
        <w:rPr>
          <w:rFonts w:ascii="Open Sans" w:eastAsia="Open Sans" w:hAnsi="Open Sans" w:cs="Open Sans"/>
          <w:color w:val="3A67A2"/>
          <w:sz w:val="20"/>
          <w:szCs w:val="20"/>
        </w:rPr>
        <w:t>Tecocomulco</w:t>
      </w:r>
      <w:proofErr w:type="spellEnd"/>
      <w:r w:rsidRPr="00860C85">
        <w:rPr>
          <w:rFonts w:ascii="Open Sans" w:eastAsia="Open Sans" w:hAnsi="Open Sans" w:cs="Open Sans"/>
          <w:color w:val="3A67A2"/>
          <w:sz w:val="20"/>
          <w:szCs w:val="20"/>
        </w:rPr>
        <w:t xml:space="preserve"> y los ríos pertenecientes a la Reserva de la Biosfera del Cañón de Metztitlán, desarrollada en 2007-2009 en este estado</w:t>
      </w:r>
      <w:r w:rsidR="00960E36">
        <w:rPr>
          <w:rFonts w:ascii="Open Sans" w:eastAsia="Open Sans" w:hAnsi="Open Sans" w:cs="Open Sans"/>
          <w:color w:val="3A67A2"/>
          <w:sz w:val="20"/>
          <w:szCs w:val="20"/>
        </w:rPr>
        <w:t xml:space="preserve"> </w:t>
      </w:r>
      <w:r w:rsidR="00960E36" w:rsidRPr="0034459B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>(</w:t>
      </w:r>
      <w:proofErr w:type="spellStart"/>
      <w:r w:rsidR="00960E36" w:rsidRPr="0034459B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>Rodeles</w:t>
      </w:r>
      <w:proofErr w:type="spellEnd"/>
      <w:r w:rsidR="00960E36" w:rsidRPr="0034459B">
        <w:rPr>
          <w:rFonts w:ascii="Open Sans" w:eastAsia="Open Sans" w:hAnsi="Open Sans" w:cs="Open Sans"/>
          <w:color w:val="3A67A2"/>
          <w:sz w:val="20"/>
          <w:szCs w:val="20"/>
          <w:highlight w:val="lightGray"/>
        </w:rPr>
        <w:t xml:space="preserve"> et al., 2016)</w:t>
      </w:r>
      <w:bookmarkStart w:id="1" w:name="_GoBack"/>
      <w:bookmarkEnd w:id="1"/>
      <w:r w:rsidRPr="00860C85">
        <w:rPr>
          <w:rFonts w:ascii="Open Sans" w:eastAsia="Open Sans" w:hAnsi="Open Sans" w:cs="Open Sans"/>
          <w:color w:val="3A67A2"/>
          <w:sz w:val="20"/>
          <w:szCs w:val="20"/>
        </w:rPr>
        <w:t>.</w:t>
      </w:r>
    </w:p>
    <w:p w:rsidR="00D10E26" w:rsidRDefault="00D10E26">
      <w:pPr>
        <w:spacing w:line="360" w:lineRule="auto"/>
        <w:rPr>
          <w:rFonts w:ascii="Open Sans" w:eastAsia="Open Sans" w:hAnsi="Open Sans" w:cs="Open Sans"/>
          <w:sz w:val="20"/>
          <w:szCs w:val="20"/>
        </w:rPr>
      </w:pPr>
    </w:p>
    <w:sectPr w:rsidR="00D10E2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altName w:val="Arial Narrow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B7861"/>
    <w:multiLevelType w:val="hybridMultilevel"/>
    <w:tmpl w:val="0C6E2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27CCB"/>
    <w:multiLevelType w:val="multilevel"/>
    <w:tmpl w:val="95F210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0E26"/>
    <w:rsid w:val="000302A4"/>
    <w:rsid w:val="002C7AC8"/>
    <w:rsid w:val="00343582"/>
    <w:rsid w:val="0034459B"/>
    <w:rsid w:val="003B5677"/>
    <w:rsid w:val="003D7E60"/>
    <w:rsid w:val="005E161E"/>
    <w:rsid w:val="00652CCF"/>
    <w:rsid w:val="006E055F"/>
    <w:rsid w:val="00860C85"/>
    <w:rsid w:val="008A5A76"/>
    <w:rsid w:val="009146EF"/>
    <w:rsid w:val="00960E36"/>
    <w:rsid w:val="00980F8B"/>
    <w:rsid w:val="009B380C"/>
    <w:rsid w:val="009D5DE5"/>
    <w:rsid w:val="00A2725E"/>
    <w:rsid w:val="00AA30AF"/>
    <w:rsid w:val="00C22F27"/>
    <w:rsid w:val="00D10E26"/>
    <w:rsid w:val="00DA2444"/>
    <w:rsid w:val="00E11BD0"/>
    <w:rsid w:val="00E77BBC"/>
    <w:rsid w:val="00EE06A5"/>
    <w:rsid w:val="00F06E43"/>
    <w:rsid w:val="00F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D09E"/>
  <w15:docId w15:val="{F013AAAE-124A-4858-987A-B4016BB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Prrafodelista">
    <w:name w:val="List Paragraph"/>
    <w:basedOn w:val="Normal"/>
    <w:uiPriority w:val="34"/>
    <w:qFormat/>
    <w:rsid w:val="00652CC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2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5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Nora Escribano</cp:lastModifiedBy>
  <cp:revision>26</cp:revision>
  <dcterms:created xsi:type="dcterms:W3CDTF">2018-06-13T05:05:00Z</dcterms:created>
  <dcterms:modified xsi:type="dcterms:W3CDTF">2018-06-14T04:41:00Z</dcterms:modified>
</cp:coreProperties>
</file>