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line="360" w:lineRule="auto"/>
        <w:jc w:val="center"/>
        <w:rPr>
          <w:rFonts w:ascii="Oswald" w:cs="Oswald" w:eastAsia="Oswald" w:hAnsi="Oswald"/>
          <w:color w:val="37df98"/>
          <w:sz w:val="48"/>
          <w:szCs w:val="48"/>
        </w:rPr>
      </w:pPr>
      <w:r w:rsidDel="00000000" w:rsidR="00000000" w:rsidRPr="00000000">
        <w:rPr>
          <w:rFonts w:ascii="Oswald" w:cs="Oswald" w:eastAsia="Oswald" w:hAnsi="Oswald"/>
          <w:color w:val="37df98"/>
          <w:sz w:val="48"/>
          <w:szCs w:val="48"/>
          <w:rtl w:val="0"/>
        </w:rPr>
        <w:t xml:space="preserve">INFORME SOBRE LOS PECES DE AGUA DULCE DEL ESTADO DE HIDALGO (MÉXICO)</w:t>
      </w:r>
    </w:p>
    <w:p w:rsidR="00000000" w:rsidDel="00000000" w:rsidP="00000000" w:rsidRDefault="00000000" w:rsidRPr="00000000" w14:paraId="00000002">
      <w:pPr>
        <w:spacing w:line="360" w:lineRule="auto"/>
        <w:jc w:val="center"/>
        <w:rPr>
          <w:rFonts w:ascii="Oswald" w:cs="Oswald" w:eastAsia="Oswald" w:hAnsi="Oswald"/>
          <w:color w:val="37df98"/>
          <w:sz w:val="36"/>
          <w:szCs w:val="36"/>
        </w:rPr>
      </w:pPr>
      <w:r w:rsidDel="00000000" w:rsidR="00000000" w:rsidRPr="00000000">
        <w:rPr>
          <w:rFonts w:ascii="Oswald" w:cs="Oswald" w:eastAsia="Oswald" w:hAnsi="Oswald"/>
          <w:color w:val="37df98"/>
          <w:sz w:val="36"/>
          <w:szCs w:val="36"/>
          <w:rtl w:val="0"/>
        </w:rPr>
        <w:t xml:space="preserve">Museo de Zoología (MZ)</w:t>
      </w:r>
    </w:p>
    <w:p w:rsidR="00000000" w:rsidDel="00000000" w:rsidP="00000000" w:rsidRDefault="00000000" w:rsidRPr="00000000" w14:paraId="00000003">
      <w:pPr>
        <w:spacing w:line="360" w:lineRule="auto"/>
        <w:jc w:val="center"/>
        <w:rPr>
          <w:rFonts w:ascii="Oswald" w:cs="Oswald" w:eastAsia="Oswald" w:hAnsi="Oswald"/>
          <w:color w:val="37df98"/>
          <w:sz w:val="36"/>
          <w:szCs w:val="36"/>
        </w:rPr>
      </w:pPr>
      <w:r w:rsidDel="00000000" w:rsidR="00000000" w:rsidRPr="00000000">
        <w:rPr>
          <w:rFonts w:ascii="Oswald" w:cs="Oswald" w:eastAsia="Oswald" w:hAnsi="Oswald"/>
          <w:color w:val="37df98"/>
          <w:sz w:val="36"/>
          <w:szCs w:val="36"/>
          <w:rtl w:val="0"/>
        </w:rPr>
        <w:t xml:space="preserve">Colección de Ictiología</w:t>
      </w:r>
    </w:p>
    <w:p w:rsidR="00000000" w:rsidDel="00000000" w:rsidP="00000000" w:rsidRDefault="00000000" w:rsidRPr="00000000" w14:paraId="00000004">
      <w:pPr>
        <w:spacing w:after="200" w:line="276" w:lineRule="auto"/>
        <w:jc w:val="center"/>
        <w:rPr>
          <w:rFonts w:ascii="Open Sans" w:cs="Open Sans" w:eastAsia="Open Sans" w:hAnsi="Open Sans"/>
          <w:color w:val="666666"/>
          <w:sz w:val="24"/>
          <w:szCs w:val="24"/>
        </w:rPr>
      </w:pPr>
      <w:r w:rsidDel="00000000" w:rsidR="00000000" w:rsidRPr="00000000">
        <w:rPr>
          <w:rtl w:val="0"/>
        </w:rPr>
      </w:r>
    </w:p>
    <w:p w:rsidR="00000000" w:rsidDel="00000000" w:rsidP="00000000" w:rsidRDefault="00000000" w:rsidRPr="00000000" w14:paraId="00000005">
      <w:pPr>
        <w:spacing w:after="200" w:line="276" w:lineRule="auto"/>
        <w:ind w:left="-1440" w:firstLine="0"/>
        <w:jc w:val="center"/>
        <w:rPr>
          <w:rFonts w:ascii="Open Sans" w:cs="Open Sans" w:eastAsia="Open Sans" w:hAnsi="Open Sans"/>
          <w:color w:val="666666"/>
          <w:sz w:val="24"/>
          <w:szCs w:val="24"/>
        </w:rPr>
      </w:pPr>
      <w:r w:rsidDel="00000000" w:rsidR="00000000" w:rsidRPr="00000000">
        <w:rPr>
          <w:rFonts w:ascii="Open Sans" w:cs="Open Sans" w:eastAsia="Open Sans" w:hAnsi="Open Sans"/>
          <w:color w:val="666666"/>
          <w:sz w:val="24"/>
          <w:szCs w:val="24"/>
        </w:rPr>
        <w:drawing>
          <wp:inline distB="114300" distT="114300" distL="114300" distR="114300">
            <wp:extent cx="7529513" cy="4200268"/>
            <wp:effectExtent b="0" l="0" r="0" t="0"/>
            <wp:docPr id="1" name="image1.png"/>
            <a:graphic>
              <a:graphicData uri="http://schemas.openxmlformats.org/drawingml/2006/picture">
                <pic:pic>
                  <pic:nvPicPr>
                    <pic:cNvPr id="0" name="image1.png"/>
                    <pic:cNvPicPr preferRelativeResize="0"/>
                  </pic:nvPicPr>
                  <pic:blipFill>
                    <a:blip r:embed="rId6"/>
                    <a:srcRect b="0" l="0" r="0" t="0"/>
                    <a:stretch>
                      <a:fillRect/>
                    </a:stretch>
                  </pic:blipFill>
                  <pic:spPr>
                    <a:xfrm>
                      <a:off x="0" y="0"/>
                      <a:ext cx="7529513" cy="4200268"/>
                    </a:xfrm>
                    <a:prstGeom prst="rect"/>
                    <a:ln/>
                  </pic:spPr>
                </pic:pic>
              </a:graphicData>
            </a:graphic>
          </wp:inline>
        </w:drawing>
      </w:r>
      <w:r w:rsidDel="00000000" w:rsidR="00000000" w:rsidRPr="00000000">
        <w:rPr>
          <w:rtl w:val="0"/>
        </w:rPr>
      </w:r>
    </w:p>
    <w:p w:rsidR="00000000" w:rsidDel="00000000" w:rsidP="00000000" w:rsidRDefault="00000000" w:rsidRPr="00000000" w14:paraId="00000006">
      <w:pPr>
        <w:spacing w:after="200" w:line="276" w:lineRule="auto"/>
        <w:jc w:val="center"/>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07">
      <w:pPr>
        <w:keepNext w:val="0"/>
        <w:keepLines w:val="0"/>
        <w:widowControl w:val="1"/>
        <w:pBdr>
          <w:top w:space="0" w:sz="0" w:val="nil"/>
          <w:left w:space="0" w:sz="0" w:val="nil"/>
          <w:bottom w:space="0" w:sz="0" w:val="nil"/>
          <w:right w:space="0" w:sz="0" w:val="nil"/>
          <w:between w:space="0" w:sz="0" w:val="nil"/>
        </w:pBdr>
        <w:shd w:fill="auto" w:val="clear"/>
        <w:spacing w:after="200" w:before="0" w:line="276" w:lineRule="auto"/>
        <w:ind w:left="0" w:right="0" w:firstLine="0"/>
        <w:jc w:val="center"/>
        <w:rPr>
          <w:rFonts w:ascii="Open Sans" w:cs="Open Sans" w:eastAsia="Open Sans" w:hAnsi="Open Sans"/>
          <w:color w:val="666666"/>
          <w:sz w:val="24"/>
          <w:szCs w:val="24"/>
        </w:rPr>
      </w:pPr>
      <w:r w:rsidDel="00000000" w:rsidR="00000000" w:rsidRPr="00000000">
        <w:rPr>
          <w:rFonts w:ascii="Open Sans" w:cs="Open Sans" w:eastAsia="Open Sans" w:hAnsi="Open Sans"/>
          <w:color w:val="666666"/>
          <w:sz w:val="24"/>
          <w:szCs w:val="24"/>
          <w:rtl w:val="0"/>
        </w:rPr>
        <w:t xml:space="preserve">Dra. María Gracia</w:t>
      </w:r>
    </w:p>
    <w:p w:rsidR="00000000" w:rsidDel="00000000" w:rsidP="00000000" w:rsidRDefault="00000000" w:rsidRPr="00000000" w14:paraId="00000008">
      <w:pPr>
        <w:keepNext w:val="0"/>
        <w:keepLines w:val="0"/>
        <w:widowControl w:val="1"/>
        <w:pBdr>
          <w:top w:space="0" w:sz="0" w:val="nil"/>
          <w:left w:space="0" w:sz="0" w:val="nil"/>
          <w:bottom w:space="0" w:sz="0" w:val="nil"/>
          <w:right w:space="0" w:sz="0" w:val="nil"/>
          <w:between w:space="0" w:sz="0" w:val="nil"/>
        </w:pBdr>
        <w:shd w:fill="auto" w:val="clear"/>
        <w:spacing w:after="200" w:before="0" w:line="276" w:lineRule="auto"/>
        <w:ind w:left="0" w:right="0" w:firstLine="0"/>
        <w:jc w:val="center"/>
        <w:rPr>
          <w:rFonts w:ascii="Calibri" w:cs="Calibri" w:eastAsia="Calibri" w:hAnsi="Calibri"/>
        </w:rPr>
      </w:pPr>
      <w:r w:rsidDel="00000000" w:rsidR="00000000" w:rsidRPr="00000000">
        <w:rPr>
          <w:rFonts w:ascii="Open Sans" w:cs="Open Sans" w:eastAsia="Open Sans" w:hAnsi="Open Sans"/>
          <w:color w:val="666666"/>
          <w:sz w:val="24"/>
          <w:szCs w:val="24"/>
          <w:rtl w:val="0"/>
        </w:rPr>
        <w:t xml:space="preserve">Directora del Museo</w:t>
      </w:r>
      <w:r w:rsidDel="00000000" w:rsidR="00000000" w:rsidRPr="00000000">
        <w:rPr>
          <w:rtl w:val="0"/>
        </w:rPr>
      </w:r>
    </w:p>
    <w:p w:rsidR="00000000" w:rsidDel="00000000" w:rsidP="00000000" w:rsidRDefault="00000000" w:rsidRPr="00000000" w14:paraId="00000009">
      <w:pPr>
        <w:spacing w:after="200" w:line="276" w:lineRule="auto"/>
        <w:jc w:val="center"/>
        <w:rPr>
          <w:rFonts w:ascii="Calibri" w:cs="Calibri" w:eastAsia="Calibri" w:hAnsi="Calibri"/>
        </w:rPr>
      </w:pPr>
      <w:r w:rsidDel="00000000" w:rsidR="00000000" w:rsidRPr="00000000">
        <w:rPr>
          <w:rtl w:val="0"/>
        </w:rPr>
      </w:r>
    </w:p>
    <w:p w:rsidR="00000000" w:rsidDel="00000000" w:rsidP="00000000" w:rsidRDefault="00000000" w:rsidRPr="00000000" w14:paraId="0000000A">
      <w:pPr>
        <w:keepNext w:val="0"/>
        <w:keepLines w:val="0"/>
        <w:widowControl w:val="1"/>
        <w:pBdr>
          <w:top w:space="0" w:sz="0" w:val="nil"/>
          <w:left w:space="0" w:sz="0" w:val="nil"/>
          <w:bottom w:space="0" w:sz="0" w:val="nil"/>
          <w:right w:space="0" w:sz="0" w:val="nil"/>
          <w:between w:space="0" w:sz="0" w:val="nil"/>
        </w:pBdr>
        <w:shd w:fill="auto" w:val="clear"/>
        <w:spacing w:after="200" w:before="0" w:line="276" w:lineRule="auto"/>
        <w:ind w:left="0" w:right="0" w:firstLine="0"/>
        <w:jc w:val="center"/>
        <w:rPr>
          <w:rFonts w:ascii="Open Sans" w:cs="Open Sans" w:eastAsia="Open Sans" w:hAnsi="Open Sans"/>
          <w:color w:val="666666"/>
          <w:sz w:val="24"/>
          <w:szCs w:val="24"/>
          <w:u w:val="single"/>
        </w:rPr>
      </w:pPr>
      <w:r w:rsidDel="00000000" w:rsidR="00000000" w:rsidRPr="00000000">
        <w:rPr>
          <w:rFonts w:ascii="Open Sans" w:cs="Open Sans" w:eastAsia="Open Sans" w:hAnsi="Open Sans"/>
          <w:color w:val="666666"/>
          <w:sz w:val="24"/>
          <w:szCs w:val="24"/>
          <w:u w:val="single"/>
          <w:rtl w:val="0"/>
        </w:rPr>
        <w:t xml:space="preserve">Su nombre aquí</w:t>
      </w:r>
    </w:p>
    <w:p w:rsidR="00000000" w:rsidDel="00000000" w:rsidP="00000000" w:rsidRDefault="00000000" w:rsidRPr="00000000" w14:paraId="0000000B">
      <w:pPr>
        <w:keepNext w:val="0"/>
        <w:keepLines w:val="0"/>
        <w:widowControl w:val="1"/>
        <w:pBdr>
          <w:top w:space="0" w:sz="0" w:val="nil"/>
          <w:left w:space="0" w:sz="0" w:val="nil"/>
          <w:bottom w:space="0" w:sz="0" w:val="nil"/>
          <w:right w:space="0" w:sz="0" w:val="nil"/>
          <w:between w:space="0" w:sz="0" w:val="nil"/>
        </w:pBdr>
        <w:shd w:fill="auto" w:val="clear"/>
        <w:spacing w:after="200" w:before="0" w:line="276" w:lineRule="auto"/>
        <w:ind w:left="0" w:right="0" w:firstLine="0"/>
        <w:jc w:val="center"/>
        <w:rPr>
          <w:rFonts w:ascii="Open Sans" w:cs="Open Sans" w:eastAsia="Open Sans" w:hAnsi="Open Sans"/>
          <w:color w:val="666666"/>
          <w:sz w:val="24"/>
          <w:szCs w:val="24"/>
        </w:rPr>
      </w:pPr>
      <w:r w:rsidDel="00000000" w:rsidR="00000000" w:rsidRPr="00000000">
        <w:rPr>
          <w:rFonts w:ascii="Open Sans" w:cs="Open Sans" w:eastAsia="Open Sans" w:hAnsi="Open Sans"/>
          <w:color w:val="666666"/>
          <w:sz w:val="24"/>
          <w:szCs w:val="24"/>
          <w:rtl w:val="0"/>
        </w:rPr>
        <w:t xml:space="preserve">Investigador adjunto</w:t>
      </w:r>
    </w:p>
    <w:p w:rsidR="00000000" w:rsidDel="00000000" w:rsidP="00000000" w:rsidRDefault="00000000" w:rsidRPr="00000000" w14:paraId="0000000C">
      <w:pPr>
        <w:pStyle w:val="Heading1"/>
        <w:keepNext w:val="0"/>
        <w:keepLines w:val="0"/>
        <w:spacing w:after="0" w:before="0" w:line="360" w:lineRule="auto"/>
        <w:rPr>
          <w:rFonts w:ascii="Open Sans" w:cs="Open Sans" w:eastAsia="Open Sans" w:hAnsi="Open Sans"/>
        </w:rPr>
      </w:pPr>
      <w:bookmarkStart w:colFirst="0" w:colLast="0" w:name="_m20nshfj504u" w:id="0"/>
      <w:bookmarkEnd w:id="0"/>
      <w:r w:rsidDel="00000000" w:rsidR="00000000" w:rsidRPr="00000000">
        <w:rPr>
          <w:rFonts w:ascii="Open Sans" w:cs="Open Sans" w:eastAsia="Open Sans" w:hAnsi="Open Sans"/>
          <w:rtl w:val="0"/>
        </w:rPr>
        <w:t xml:space="preserve">DATOS GENERALES</w:t>
      </w:r>
    </w:p>
    <w:p w:rsidR="00000000" w:rsidDel="00000000" w:rsidP="00000000" w:rsidRDefault="00000000" w:rsidRPr="00000000" w14:paraId="0000000D">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afterAutospacing="0" w:before="0" w:line="360" w:lineRule="auto"/>
        <w:ind w:left="720" w:right="0" w:hanging="360"/>
        <w:jc w:val="both"/>
        <w:rPr>
          <w:rFonts w:ascii="Open Sans" w:cs="Open Sans" w:eastAsia="Open Sans" w:hAnsi="Open Sans"/>
          <w:sz w:val="20"/>
          <w:szCs w:val="20"/>
          <w:u w:val="none"/>
        </w:rPr>
      </w:pPr>
      <w:r w:rsidDel="00000000" w:rsidR="00000000" w:rsidRPr="00000000">
        <w:rPr>
          <w:rFonts w:ascii="Open Sans" w:cs="Open Sans" w:eastAsia="Open Sans" w:hAnsi="Open Sans"/>
          <w:sz w:val="20"/>
          <w:szCs w:val="20"/>
          <w:rtl w:val="0"/>
        </w:rPr>
        <w:t xml:space="preserve">Subconjunto de datos a compartir: Peces de agua dulce del estado de hidalgo (méxico)</w:t>
      </w:r>
    </w:p>
    <w:p w:rsidR="00000000" w:rsidDel="00000000" w:rsidP="00000000" w:rsidRDefault="00000000" w:rsidRPr="00000000" w14:paraId="0000000E">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afterAutospacing="0" w:before="0" w:line="360" w:lineRule="auto"/>
        <w:ind w:left="720" w:right="0" w:hanging="360"/>
        <w:jc w:val="both"/>
        <w:rPr>
          <w:rFonts w:ascii="Open Sans" w:cs="Open Sans" w:eastAsia="Open Sans" w:hAnsi="Open Sans"/>
          <w:sz w:val="20"/>
          <w:szCs w:val="20"/>
          <w:u w:val="none"/>
        </w:rPr>
      </w:pPr>
      <w:r w:rsidDel="00000000" w:rsidR="00000000" w:rsidRPr="00000000">
        <w:rPr>
          <w:rFonts w:ascii="Open Sans" w:cs="Open Sans" w:eastAsia="Open Sans" w:hAnsi="Open Sans"/>
          <w:sz w:val="20"/>
          <w:szCs w:val="20"/>
          <w:rtl w:val="0"/>
        </w:rPr>
        <w:t xml:space="preserve">Institución: Museo de Zoología (MZ)</w:t>
      </w:r>
    </w:p>
    <w:p w:rsidR="00000000" w:rsidDel="00000000" w:rsidP="00000000" w:rsidRDefault="00000000" w:rsidRPr="00000000" w14:paraId="0000000F">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200" w:before="0" w:line="360" w:lineRule="auto"/>
        <w:ind w:left="720" w:right="0" w:hanging="360"/>
        <w:jc w:val="both"/>
        <w:rPr>
          <w:rFonts w:ascii="Open Sans" w:cs="Open Sans" w:eastAsia="Open Sans" w:hAnsi="Open Sans"/>
          <w:sz w:val="20"/>
          <w:szCs w:val="20"/>
          <w:u w:val="none"/>
        </w:rPr>
      </w:pPr>
      <w:r w:rsidDel="00000000" w:rsidR="00000000" w:rsidRPr="00000000">
        <w:rPr>
          <w:rFonts w:ascii="Open Sans" w:cs="Open Sans" w:eastAsia="Open Sans" w:hAnsi="Open Sans"/>
          <w:sz w:val="20"/>
          <w:szCs w:val="20"/>
          <w:rtl w:val="0"/>
        </w:rPr>
        <w:t xml:space="preserve">Colección: Ictiología</w:t>
      </w:r>
      <w:r w:rsidDel="00000000" w:rsidR="00000000" w:rsidRPr="00000000">
        <w:rPr>
          <w:rtl w:val="0"/>
        </w:rPr>
      </w:r>
    </w:p>
    <w:p w:rsidR="00000000" w:rsidDel="00000000" w:rsidP="00000000" w:rsidRDefault="00000000" w:rsidRPr="00000000" w14:paraId="00000010">
      <w:pPr>
        <w:rPr/>
      </w:pPr>
      <w:r w:rsidDel="00000000" w:rsidR="00000000" w:rsidRPr="00000000">
        <w:rPr>
          <w:rtl w:val="0"/>
        </w:rPr>
      </w:r>
    </w:p>
    <w:p w:rsidR="00000000" w:rsidDel="00000000" w:rsidP="00000000" w:rsidRDefault="00000000" w:rsidRPr="00000000" w14:paraId="00000011">
      <w:pPr>
        <w:pStyle w:val="Heading1"/>
        <w:keepNext w:val="0"/>
        <w:keepLines w:val="0"/>
        <w:spacing w:after="0" w:before="0" w:line="360" w:lineRule="auto"/>
        <w:rPr>
          <w:rFonts w:ascii="Open Sans" w:cs="Open Sans" w:eastAsia="Open Sans" w:hAnsi="Open Sans"/>
          <w:b w:val="1"/>
          <w:sz w:val="20"/>
          <w:szCs w:val="20"/>
        </w:rPr>
      </w:pPr>
      <w:bookmarkStart w:colFirst="0" w:colLast="0" w:name="_hr8akqz14ixs" w:id="1"/>
      <w:bookmarkEnd w:id="1"/>
      <w:r w:rsidDel="00000000" w:rsidR="00000000" w:rsidRPr="00000000">
        <w:rPr>
          <w:rFonts w:ascii="Open Sans" w:cs="Open Sans" w:eastAsia="Open Sans" w:hAnsi="Open Sans"/>
          <w:rtl w:val="0"/>
        </w:rPr>
        <w:t xml:space="preserve">DESCRIPCIÓN</w:t>
      </w:r>
      <w:r w:rsidDel="00000000" w:rsidR="00000000" w:rsidRPr="00000000">
        <w:rPr>
          <w:rtl w:val="0"/>
        </w:rPr>
      </w:r>
    </w:p>
    <w:p w:rsidR="00000000" w:rsidDel="00000000" w:rsidP="00000000" w:rsidRDefault="00000000" w:rsidRPr="00000000" w14:paraId="00000012">
      <w:pPr>
        <w:spacing w:after="200" w:line="36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Este conjunto de datos comprende los registros de muestreo de dos proyectos desarrollados en Hidalgo entre 2007 y 2008 sobre las comunidades de peces de agua dulce del lago Tecocomulco y los ríos pertenecientes a la Reserva de la Biosfera del Cañón de Metztitlán. Contiene la identidad taxonómica y los datos biométricos básicos (longitud y peso total), así como la fecha de recolección y las coordenadas de más de 999 especímenes. </w:t>
      </w:r>
    </w:p>
    <w:p w:rsidR="00000000" w:rsidDel="00000000" w:rsidP="00000000" w:rsidRDefault="00000000" w:rsidRPr="00000000" w14:paraId="00000013">
      <w:pPr>
        <w:spacing w:after="200" w:line="36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Todos los especímenes están identificados a nivel de especie. La colección comprende 17 especies (y dos híbridos) de peces pertenecientes a ocho familias de los órdenes Atheriniformes, Ciprinodontiformes, Ostariophysi y Perciformes.</w:t>
      </w:r>
    </w:p>
    <w:p w:rsidR="00000000" w:rsidDel="00000000" w:rsidP="00000000" w:rsidRDefault="00000000" w:rsidRPr="00000000" w14:paraId="00000014">
      <w:pPr>
        <w:spacing w:after="200" w:line="36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15">
      <w:pPr>
        <w:spacing w:after="200" w:line="360" w:lineRule="auto"/>
        <w:jc w:val="both"/>
        <w:rPr>
          <w:rFonts w:ascii="Open Sans" w:cs="Open Sans" w:eastAsia="Open Sans" w:hAnsi="Open Sans"/>
          <w:b w:val="1"/>
          <w:sz w:val="20"/>
          <w:szCs w:val="20"/>
        </w:rPr>
      </w:pPr>
      <w:r w:rsidDel="00000000" w:rsidR="00000000" w:rsidRPr="00000000">
        <w:rPr>
          <w:rFonts w:ascii="Open Sans" w:cs="Open Sans" w:eastAsia="Open Sans" w:hAnsi="Open Sans"/>
          <w:sz w:val="40"/>
          <w:szCs w:val="40"/>
          <w:rtl w:val="0"/>
        </w:rPr>
        <w:t xml:space="preserve">ÁREA DE ESTUDIO</w:t>
      </w:r>
      <w:r w:rsidDel="00000000" w:rsidR="00000000" w:rsidRPr="00000000">
        <w:rPr>
          <w:rtl w:val="0"/>
        </w:rPr>
      </w:r>
    </w:p>
    <w:p w:rsidR="00000000" w:rsidDel="00000000" w:rsidP="00000000" w:rsidRDefault="00000000" w:rsidRPr="00000000" w14:paraId="00000016">
      <w:pPr>
        <w:spacing w:after="200" w:line="36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La expedición para la captura de especímenes se realizó en el Lago Tecocomulco (19.83-19.90N; 98.44-98.35W), ubicado en la Reserva de la Biosfera Barranca de Metztitlán (20.23-20.75N; 98.95-98.38W) del Estado de Hidalgo, Centro-Este de México.</w:t>
      </w:r>
    </w:p>
    <w:p w:rsidR="00000000" w:rsidDel="00000000" w:rsidP="00000000" w:rsidRDefault="00000000" w:rsidRPr="00000000" w14:paraId="00000017">
      <w:pPr>
        <w:spacing w:after="200" w:line="360" w:lineRule="auto"/>
        <w:jc w:val="both"/>
        <w:rPr>
          <w:rFonts w:ascii="Open Sans" w:cs="Open Sans" w:eastAsia="Open Sans" w:hAnsi="Open Sans"/>
          <w:b w:val="1"/>
          <w:sz w:val="20"/>
          <w:szCs w:val="20"/>
        </w:rPr>
      </w:pPr>
      <w:r w:rsidDel="00000000" w:rsidR="00000000" w:rsidRPr="00000000">
        <w:rPr>
          <w:rtl w:val="0"/>
        </w:rPr>
      </w:r>
    </w:p>
    <w:p w:rsidR="00000000" w:rsidDel="00000000" w:rsidP="00000000" w:rsidRDefault="00000000" w:rsidRPr="00000000" w14:paraId="00000018">
      <w:pPr>
        <w:spacing w:after="200" w:line="360" w:lineRule="auto"/>
        <w:jc w:val="both"/>
        <w:rPr>
          <w:rFonts w:ascii="Open Sans" w:cs="Open Sans" w:eastAsia="Open Sans" w:hAnsi="Open Sans"/>
          <w:b w:val="1"/>
          <w:sz w:val="20"/>
          <w:szCs w:val="20"/>
        </w:rPr>
      </w:pPr>
      <w:r w:rsidDel="00000000" w:rsidR="00000000" w:rsidRPr="00000000">
        <w:rPr>
          <w:rFonts w:ascii="Open Sans" w:cs="Open Sans" w:eastAsia="Open Sans" w:hAnsi="Open Sans"/>
          <w:sz w:val="40"/>
          <w:szCs w:val="40"/>
          <w:rtl w:val="0"/>
        </w:rPr>
        <w:t xml:space="preserve">METODOLOGÍA</w:t>
      </w:r>
      <w:r w:rsidDel="00000000" w:rsidR="00000000" w:rsidRPr="00000000">
        <w:rPr>
          <w:rtl w:val="0"/>
        </w:rPr>
      </w:r>
    </w:p>
    <w:p w:rsidR="00000000" w:rsidDel="00000000" w:rsidP="00000000" w:rsidRDefault="00000000" w:rsidRPr="00000000" w14:paraId="00000019">
      <w:pPr>
        <w:spacing w:after="200" w:line="36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Se tomaron muestras de cuarenta y tres localidades a lo largo de los ríos Amajac y Metztitlán y el lago Tecocomulco. Todos los especímenes capturados fueron medidos, ponderados e identificados (sexo y especie) antes de ser liberados. La mayoría de los especímenes fueron devueltos a su hábitat. Las muestras del comprobante se sacrificaron mediante una sobredosis de anestesia y se transportaron al laboratorio para su identificación taxonómica y estudio.</w:t>
      </w:r>
    </w:p>
    <w:p w:rsidR="00000000" w:rsidDel="00000000" w:rsidP="00000000" w:rsidRDefault="00000000" w:rsidRPr="00000000" w14:paraId="0000001A">
      <w:pPr>
        <w:spacing w:after="200" w:line="36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La identidad taxonómica de todas las especies e híbridos fue verificada utilizando literatura adecuada (Hubbs 1924, Hubbs y Turner 1939, Miller 1974). Los nombres científicos se validaron de acuerdo con el Catálogo de peces de W. N. Eschmeyer (Eschmeyer 2004). </w:t>
      </w:r>
    </w:p>
    <w:p w:rsidR="00000000" w:rsidDel="00000000" w:rsidP="00000000" w:rsidRDefault="00000000" w:rsidRPr="00000000" w14:paraId="0000001B">
      <w:pPr>
        <w:keepNext w:val="0"/>
        <w:keepLines w:val="0"/>
        <w:widowControl w:val="1"/>
        <w:pBdr>
          <w:top w:space="0" w:sz="0" w:val="nil"/>
          <w:left w:space="0" w:sz="0" w:val="nil"/>
          <w:bottom w:space="0" w:sz="0" w:val="nil"/>
          <w:right w:space="0" w:sz="0" w:val="nil"/>
          <w:between w:space="0" w:sz="0" w:val="nil"/>
        </w:pBdr>
        <w:shd w:fill="auto" w:val="clear"/>
        <w:spacing w:after="200" w:before="0" w:line="360" w:lineRule="auto"/>
        <w:ind w:left="0" w:right="0" w:firstLine="0"/>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1C">
      <w:pPr>
        <w:keepNext w:val="0"/>
        <w:keepLines w:val="0"/>
        <w:widowControl w:val="1"/>
        <w:pBdr>
          <w:top w:space="0" w:sz="0" w:val="nil"/>
          <w:left w:space="0" w:sz="0" w:val="nil"/>
          <w:bottom w:space="0" w:sz="0" w:val="nil"/>
          <w:right w:space="0" w:sz="0" w:val="nil"/>
          <w:between w:space="0" w:sz="0" w:val="nil"/>
        </w:pBdr>
        <w:shd w:fill="auto" w:val="clear"/>
        <w:spacing w:after="200" w:before="0" w:line="360" w:lineRule="auto"/>
        <w:ind w:left="0" w:right="0" w:firstLine="0"/>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1D">
      <w:pPr>
        <w:keepNext w:val="0"/>
        <w:keepLines w:val="0"/>
        <w:widowControl w:val="1"/>
        <w:pBdr>
          <w:top w:space="0" w:sz="0" w:val="nil"/>
          <w:left w:space="0" w:sz="0" w:val="nil"/>
          <w:bottom w:space="0" w:sz="0" w:val="nil"/>
          <w:right w:space="0" w:sz="0" w:val="nil"/>
          <w:between w:space="0" w:sz="0" w:val="nil"/>
        </w:pBdr>
        <w:shd w:fill="auto" w:val="clear"/>
        <w:spacing w:after="200" w:before="0" w:line="360" w:lineRule="auto"/>
        <w:ind w:left="0" w:right="0" w:firstLine="0"/>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1E">
      <w:pPr>
        <w:spacing w:after="200" w:line="360" w:lineRule="auto"/>
        <w:jc w:val="both"/>
        <w:rPr>
          <w:rFonts w:ascii="Open Sans" w:cs="Open Sans" w:eastAsia="Open Sans" w:hAnsi="Open Sans"/>
          <w:sz w:val="40"/>
          <w:szCs w:val="40"/>
        </w:rPr>
      </w:pPr>
      <w:r w:rsidDel="00000000" w:rsidR="00000000" w:rsidRPr="00000000">
        <w:rPr>
          <w:rFonts w:ascii="Open Sans" w:cs="Open Sans" w:eastAsia="Open Sans" w:hAnsi="Open Sans"/>
          <w:sz w:val="40"/>
          <w:szCs w:val="40"/>
          <w:rtl w:val="0"/>
        </w:rPr>
        <w:t xml:space="preserve">REFERENCIAS</w:t>
      </w:r>
    </w:p>
    <w:p w:rsidR="00000000" w:rsidDel="00000000" w:rsidP="00000000" w:rsidRDefault="00000000" w:rsidRPr="00000000" w14:paraId="0000001F">
      <w:pPr>
        <w:numPr>
          <w:ilvl w:val="0"/>
          <w:numId w:val="1"/>
        </w:numPr>
        <w:pBdr>
          <w:top w:color="auto" w:space="0" w:sz="0" w:val="none"/>
          <w:bottom w:color="auto" w:space="0" w:sz="0" w:val="none"/>
          <w:right w:color="auto" w:space="0" w:sz="0" w:val="none"/>
          <w:between w:color="auto" w:space="0" w:sz="0" w:val="none"/>
        </w:pBdr>
        <w:spacing w:after="0" w:afterAutospacing="0" w:line="360" w:lineRule="auto"/>
        <w:ind w:left="1180" w:hanging="360"/>
        <w:jc w:val="both"/>
        <w:rPr>
          <w:rFonts w:ascii="Open Sans" w:cs="Open Sans" w:eastAsia="Open Sans" w:hAnsi="Open Sans"/>
          <w:color w:val="000000"/>
          <w:sz w:val="21"/>
          <w:szCs w:val="21"/>
        </w:rPr>
      </w:pPr>
      <w:r w:rsidDel="00000000" w:rsidR="00000000" w:rsidRPr="00000000">
        <w:rPr>
          <w:rFonts w:ascii="Open Sans" w:cs="Open Sans" w:eastAsia="Open Sans" w:hAnsi="Open Sans"/>
          <w:sz w:val="21"/>
          <w:szCs w:val="21"/>
          <w:rtl w:val="0"/>
        </w:rPr>
        <w:t xml:space="preserve">Hubbs CL (1924) Studies of the fishes of the order Cyprinodontes. V. Notes on species of Goodea and Skiffia. Miscellaneous Publications of the Museum of Zoology, University of Michigan 148, 1–8.</w:t>
      </w:r>
    </w:p>
    <w:p w:rsidR="00000000" w:rsidDel="00000000" w:rsidP="00000000" w:rsidRDefault="00000000" w:rsidRPr="00000000" w14:paraId="00000020">
      <w:pPr>
        <w:numPr>
          <w:ilvl w:val="0"/>
          <w:numId w:val="1"/>
        </w:numPr>
        <w:pBdr>
          <w:top w:color="auto" w:space="0" w:sz="0" w:val="none"/>
          <w:bottom w:color="auto" w:space="0" w:sz="0" w:val="none"/>
          <w:right w:color="auto" w:space="0" w:sz="0" w:val="none"/>
          <w:between w:color="auto" w:space="0" w:sz="0" w:val="none"/>
        </w:pBdr>
        <w:spacing w:after="0" w:afterAutospacing="0" w:line="360" w:lineRule="auto"/>
        <w:ind w:left="1180" w:hanging="360"/>
        <w:jc w:val="both"/>
        <w:rPr>
          <w:rFonts w:ascii="Open Sans" w:cs="Open Sans" w:eastAsia="Open Sans" w:hAnsi="Open Sans"/>
          <w:color w:val="000000"/>
          <w:sz w:val="21"/>
          <w:szCs w:val="21"/>
        </w:rPr>
      </w:pPr>
      <w:r w:rsidDel="00000000" w:rsidR="00000000" w:rsidRPr="00000000">
        <w:rPr>
          <w:rFonts w:ascii="Open Sans" w:cs="Open Sans" w:eastAsia="Open Sans" w:hAnsi="Open Sans"/>
          <w:sz w:val="21"/>
          <w:szCs w:val="21"/>
          <w:rtl w:val="0"/>
        </w:rPr>
        <w:t xml:space="preserve">Hubbs CL, Turner CL (1939) Studies of the fishes of the order Cyprinodontes. XVI. A revision of the Goodeidae. Miscellaneous Publications of the Museum of Zoology, University of Michigan 42, 1–80.</w:t>
      </w:r>
    </w:p>
    <w:p w:rsidR="00000000" w:rsidDel="00000000" w:rsidP="00000000" w:rsidRDefault="00000000" w:rsidRPr="00000000" w14:paraId="00000021">
      <w:pPr>
        <w:keepNext w:val="0"/>
        <w:keepLines w:val="0"/>
        <w:widowControl w:val="1"/>
        <w:numPr>
          <w:ilvl w:val="0"/>
          <w:numId w:val="1"/>
        </w:numPr>
        <w:pBdr>
          <w:top w:color="auto" w:space="0" w:sz="0" w:val="none"/>
          <w:left w:space="0" w:sz="0" w:val="nil"/>
          <w:bottom w:color="auto" w:space="0" w:sz="0" w:val="none"/>
          <w:right w:color="auto" w:space="0" w:sz="0" w:val="none"/>
          <w:between w:color="auto" w:space="0" w:sz="0" w:val="none"/>
        </w:pBdr>
        <w:shd w:fill="auto" w:val="clear"/>
        <w:spacing w:after="300" w:before="0" w:line="360" w:lineRule="auto"/>
        <w:ind w:left="1180" w:right="0" w:hanging="360"/>
        <w:jc w:val="both"/>
        <w:rPr>
          <w:rFonts w:ascii="Open Sans" w:cs="Open Sans" w:eastAsia="Open Sans" w:hAnsi="Open Sans"/>
          <w:color w:val="000000"/>
          <w:sz w:val="21"/>
          <w:szCs w:val="21"/>
        </w:rPr>
      </w:pPr>
      <w:r w:rsidDel="00000000" w:rsidR="00000000" w:rsidRPr="00000000">
        <w:rPr>
          <w:rFonts w:ascii="Open Sans" w:cs="Open Sans" w:eastAsia="Open Sans" w:hAnsi="Open Sans"/>
          <w:sz w:val="21"/>
          <w:szCs w:val="21"/>
          <w:rtl w:val="0"/>
        </w:rPr>
        <w:t xml:space="preserve">Miller RR (1974) Mexican species of the genus Heterandria, subgenus Pseudoxiphophorus (Pisces: Poeciliidae). Transactions of the San Diego Society of Natural History 17, 235–250.</w:t>
      </w:r>
    </w:p>
    <w:p w:rsidR="00000000" w:rsidDel="00000000" w:rsidP="00000000" w:rsidRDefault="00000000" w:rsidRPr="00000000" w14:paraId="00000022">
      <w:pPr>
        <w:pBdr>
          <w:top w:color="auto" w:space="0" w:sz="0" w:val="none"/>
          <w:bottom w:color="auto" w:space="0" w:sz="0" w:val="none"/>
          <w:right w:color="auto" w:space="0" w:sz="0" w:val="none"/>
          <w:between w:color="auto" w:space="0" w:sz="0" w:val="none"/>
        </w:pBdr>
        <w:spacing w:after="300" w:line="360" w:lineRule="auto"/>
        <w:jc w:val="both"/>
        <w:rPr>
          <w:color w:val="666666"/>
          <w:sz w:val="21"/>
          <w:szCs w:val="21"/>
        </w:rPr>
      </w:pPr>
      <w:r w:rsidDel="00000000" w:rsidR="00000000" w:rsidRPr="00000000">
        <w:rPr>
          <w:rtl w:val="0"/>
        </w:rPr>
      </w:r>
    </w:p>
    <w:p w:rsidR="00000000" w:rsidDel="00000000" w:rsidP="00000000" w:rsidRDefault="00000000" w:rsidRPr="00000000" w14:paraId="00000023">
      <w:pPr>
        <w:keepNext w:val="0"/>
        <w:keepLines w:val="0"/>
        <w:widowControl w:val="1"/>
        <w:pBdr>
          <w:top w:space="0" w:sz="0" w:val="nil"/>
          <w:left w:space="0" w:sz="0" w:val="nil"/>
          <w:bottom w:space="0" w:sz="0" w:val="nil"/>
          <w:right w:space="0" w:sz="0" w:val="nil"/>
          <w:between w:space="0" w:sz="0" w:val="nil"/>
        </w:pBdr>
        <w:shd w:fill="auto" w:val="clear"/>
        <w:spacing w:after="200" w:before="0" w:line="360" w:lineRule="auto"/>
        <w:ind w:left="0" w:right="0" w:firstLine="0"/>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24">
      <w:pPr>
        <w:spacing w:line="36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25">
      <w:pPr>
        <w:spacing w:line="360" w:lineRule="auto"/>
        <w:rPr>
          <w:rFonts w:ascii="Open Sans" w:cs="Open Sans" w:eastAsia="Open Sans" w:hAnsi="Open Sans"/>
          <w:sz w:val="20"/>
          <w:szCs w:val="20"/>
        </w:rPr>
      </w:pPr>
      <w:r w:rsidDel="00000000" w:rsidR="00000000" w:rsidRPr="00000000">
        <w:rPr>
          <w:rtl w:val="0"/>
        </w:rPr>
      </w:r>
    </w:p>
    <w:sectPr>
      <w:pgSz w:h="16834" w:w="11909"/>
      <w:pgMar w:bottom="1440" w:top="1440" w:left="1440" w:right="1440" w:header="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libri"/>
  <w:font w:name="Oswald">
    <w:embedRegular w:fontKey="{00000000-0000-0000-0000-000000000000}" r:id="rId1" w:subsetted="0"/>
    <w:embedBold w:fontKey="{00000000-0000-0000-0000-000000000000}" r:id="rId2" w:subsetted="0"/>
  </w:font>
  <w:font w:name="Open Sans">
    <w:embedRegular w:fontKey="{00000000-0000-0000-0000-000000000000}" r:id="rId3" w:subsetted="0"/>
    <w:embedBold w:fontKey="{00000000-0000-0000-0000-000000000000}" r:id="rId4" w:subsetted="0"/>
    <w:embedItalic w:fontKey="{00000000-0000-0000-0000-000000000000}" r:id="rId5" w:subsetted="0"/>
    <w:embedBoldItalic w:fontKey="{00000000-0000-0000-0000-000000000000}" r:id="rId6"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rFonts w:ascii="Arial" w:cs="Arial" w:eastAsia="Arial" w:hAnsi="Arial"/>
        <w:color w:val="666666"/>
        <w:sz w:val="20"/>
        <w:szCs w:val="20"/>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s"/>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image" Target="media/image1.png"/></Relationships>
</file>

<file path=word/_rels/fontTable.xml.rels><?xml version="1.0" encoding="UTF-8" standalone="yes"?><Relationships xmlns="http://schemas.openxmlformats.org/package/2006/relationships"><Relationship Id="rId1" Type="http://schemas.openxmlformats.org/officeDocument/2006/relationships/font" Target="fonts/Oswald-regular.ttf"/><Relationship Id="rId2" Type="http://schemas.openxmlformats.org/officeDocument/2006/relationships/font" Target="fonts/Oswald-bold.ttf"/><Relationship Id="rId3" Type="http://schemas.openxmlformats.org/officeDocument/2006/relationships/font" Target="fonts/OpenSans-regular.ttf"/><Relationship Id="rId4" Type="http://schemas.openxmlformats.org/officeDocument/2006/relationships/font" Target="fonts/OpenSans-bold.ttf"/><Relationship Id="rId5" Type="http://schemas.openxmlformats.org/officeDocument/2006/relationships/font" Target="fonts/OpenSans-italic.ttf"/><Relationship Id="rId6" Type="http://schemas.openxmlformats.org/officeDocument/2006/relationships/font" Target="fonts/OpenSans-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